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3A5E" w:rsidRPr="0073487B" w:rsidRDefault="00C33A5E">
      <w:pPr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Style w:val="a"/>
        <w:tblW w:w="922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8B031B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1. Course title:</w:t>
            </w:r>
            <w:r w:rsidRPr="0073487B">
              <w:rPr>
                <w:lang w:val="en-GB"/>
              </w:rPr>
              <w:t xml:space="preserve"> </w:t>
            </w:r>
            <w:r w:rsidR="008B031B">
              <w:rPr>
                <w:lang w:val="en-GB"/>
              </w:rPr>
              <w:t>Logic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506F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3. Type (lecture, practice etc.):</w:t>
            </w:r>
            <w:r w:rsidRPr="0073487B">
              <w:rPr>
                <w:lang w:val="en-GB"/>
              </w:rPr>
              <w:t xml:space="preserve"> </w:t>
            </w:r>
            <w:r w:rsidR="009506F7">
              <w:rPr>
                <w:lang w:val="en-GB"/>
              </w:rPr>
              <w:t>seminar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43D17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4. Contact hours:</w:t>
            </w:r>
            <w:r w:rsidR="00943D17" w:rsidRPr="0073487B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2</w:t>
            </w:r>
            <w:r w:rsidRPr="0073487B">
              <w:rPr>
                <w:lang w:val="en-GB"/>
              </w:rPr>
              <w:t xml:space="preserve"> hours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5. Number of credits (ECTS):</w:t>
            </w:r>
            <w:r w:rsidR="00943D17" w:rsidRPr="0073487B">
              <w:rPr>
                <w:lang w:val="en-GB"/>
              </w:rPr>
              <w:t xml:space="preserve"> </w:t>
            </w:r>
            <w:r w:rsidR="009506F7">
              <w:rPr>
                <w:lang w:val="en-GB"/>
              </w:rPr>
              <w:t>2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6. Preliminary conditions (max. 3): </w:t>
            </w:r>
          </w:p>
          <w:p w:rsidR="00C33A5E" w:rsidRPr="0073487B" w:rsidRDefault="00C33A5E" w:rsidP="0073487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  <w:rPr>
                <w:lang w:val="en-GB"/>
              </w:rPr>
            </w:pP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8B031B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bookmarkStart w:id="0" w:name="_gjdgxs" w:colFirst="0" w:colLast="0"/>
            <w:bookmarkEnd w:id="0"/>
            <w:r w:rsidRPr="0073487B">
              <w:rPr>
                <w:b/>
                <w:lang w:val="en-GB"/>
              </w:rPr>
              <w:t>7. Announced:</w:t>
            </w:r>
            <w:r w:rsidR="00943D17" w:rsidRPr="0073487B">
              <w:rPr>
                <w:b/>
                <w:lang w:val="en-GB"/>
              </w:rPr>
              <w:t xml:space="preserve"> </w:t>
            </w:r>
            <w:r w:rsidR="008B031B" w:rsidRPr="0073487B">
              <w:rPr>
                <w:rFonts w:ascii="MS Mincho" w:eastAsia="MS Mincho" w:hAnsi="MS Mincho" w:cs="MS Mincho"/>
                <w:lang w:val="en-GB"/>
              </w:rPr>
              <w:t>☒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fall semester, </w:t>
            </w:r>
            <w:r w:rsidR="008B031B"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="008B031B">
              <w:rPr>
                <w:rFonts w:ascii="MS Mincho" w:eastAsia="MS Mincho" w:hAnsi="MS Mincho" w:cs="MS Mincho"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spring semester, </w:t>
            </w:r>
            <w:r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="008B031B">
              <w:rPr>
                <w:rFonts w:ascii="MS Mincho" w:eastAsia="MS Mincho" w:hAnsi="MS Mincho" w:cs="MS Mincho"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both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8. Limit for participants:</w:t>
            </w:r>
            <w:r w:rsidRPr="0073487B">
              <w:rPr>
                <w:lang w:val="en-GB"/>
              </w:rPr>
              <w:t xml:space="preserve"> 150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10. Responsible teacher (faculty, institute and department): </w:t>
            </w:r>
          </w:p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 xml:space="preserve"> PhD (Faculty of Science, Institute of Mathematics and Informatics, Department of  Mathematics)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100 %</w:t>
            </w: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 xml:space="preserve">Margit Pap, PhD, dr.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100%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12. Language: </w:t>
            </w:r>
            <w:r w:rsidRPr="0073487B">
              <w:rPr>
                <w:lang w:val="en-GB"/>
              </w:rPr>
              <w:t>English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13. Course objectives and/or learning outcomes: </w:t>
            </w:r>
          </w:p>
          <w:p w:rsidR="00B16658" w:rsidRDefault="00377448" w:rsidP="008B031B">
            <w:pPr>
              <w:widowControl/>
              <w:autoSpaceDE w:val="0"/>
              <w:autoSpaceDN w:val="0"/>
              <w:adjustRightInd w:val="0"/>
              <w:rPr>
                <w:rFonts w:ascii="CMR10" w:hAnsi="CMR10" w:cs="CMR10"/>
              </w:rPr>
            </w:pPr>
            <w:r w:rsidRPr="0073487B">
              <w:rPr>
                <w:b/>
                <w:lang w:val="en-GB"/>
              </w:rPr>
              <w:t>Objectives:</w:t>
            </w:r>
            <w:r w:rsidRPr="0073487B">
              <w:rPr>
                <w:lang w:val="en-GB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This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is an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introductory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course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in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formal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logic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that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covers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use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of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symbolic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techniques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for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analysis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and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construction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of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good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arguments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.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Proofs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in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formal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logic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mirror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structure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of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good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arguments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in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English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generally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,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so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to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construct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them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,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we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learn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about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good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methods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 xml:space="preserve"> of </w:t>
            </w:r>
            <w:proofErr w:type="spellStart"/>
            <w:r w:rsidR="008B031B">
              <w:rPr>
                <w:rFonts w:ascii="CMR12" w:hAnsi="CMR12" w:cs="CMR12"/>
                <w:sz w:val="24"/>
                <w:szCs w:val="24"/>
              </w:rPr>
              <w:t>inference</w:t>
            </w:r>
            <w:proofErr w:type="spellEnd"/>
            <w:r w:rsidR="008B031B">
              <w:rPr>
                <w:rFonts w:ascii="CMR12" w:hAnsi="CMR12" w:cs="CMR12"/>
                <w:sz w:val="24"/>
                <w:szCs w:val="24"/>
              </w:rPr>
              <w:t>.</w:t>
            </w:r>
            <w:r w:rsidR="00B16658">
              <w:rPr>
                <w:rFonts w:ascii="CMR10" w:hAnsi="CMR10" w:cs="CMR10"/>
              </w:rPr>
              <w:t xml:space="preserve"> </w:t>
            </w:r>
          </w:p>
          <w:p w:rsidR="00C33A5E" w:rsidRPr="0073487B" w:rsidRDefault="00377448" w:rsidP="008B031B">
            <w:pPr>
              <w:widowControl/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Learning outcomes:</w:t>
            </w:r>
            <w:r w:rsidRPr="0073487B">
              <w:rPr>
                <w:lang w:val="en-GB"/>
              </w:rPr>
              <w:t xml:space="preserve"> students completing the course </w:t>
            </w:r>
            <w:r w:rsidR="008B031B">
              <w:rPr>
                <w:lang w:val="en-GB"/>
              </w:rPr>
              <w:t>can use the language of the formal logic.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73487B">
              <w:rPr>
                <w:b/>
                <w:lang w:val="en-GB"/>
              </w:rPr>
              <w:t xml:space="preserve">14. Course outline 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b/>
                <w:lang w:val="en-GB" w:eastAsia="ar-SA"/>
              </w:rPr>
            </w:pPr>
            <w:r w:rsidRPr="00914306">
              <w:rPr>
                <w:lang w:val="en-GB" w:eastAsia="ar-SA"/>
              </w:rPr>
              <w:t>Logic puzzles</w:t>
            </w:r>
            <w:r w:rsidRPr="00914306">
              <w:rPr>
                <w:b/>
                <w:bCs/>
                <w:lang w:val="en-GB" w:eastAsia="ar-SA"/>
              </w:rPr>
              <w:t xml:space="preserve"> 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b/>
                <w:lang w:val="en-GB" w:eastAsia="ar-SA"/>
              </w:rPr>
            </w:pPr>
            <w:r w:rsidRPr="00914306">
              <w:rPr>
                <w:lang w:val="en-GB" w:eastAsia="ar-SA"/>
              </w:rPr>
              <w:t>Logic puzzles</w:t>
            </w:r>
            <w:r w:rsidRPr="00914306">
              <w:rPr>
                <w:b/>
                <w:bCs/>
                <w:lang w:val="en-GB" w:eastAsia="ar-SA"/>
              </w:rPr>
              <w:t xml:space="preserve"> 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Simple</w:t>
            </w:r>
            <w:r w:rsidRPr="00914306">
              <w:rPr>
                <w:lang w:val="en-GB" w:eastAsia="ar-SA"/>
              </w:rPr>
              <w:t xml:space="preserve"> and c</w:t>
            </w:r>
            <w:r w:rsidRPr="00914306">
              <w:rPr>
                <w:lang w:val="en-GB" w:eastAsia="ar-SA"/>
              </w:rPr>
              <w:t>ompound</w:t>
            </w:r>
            <w:r w:rsidRPr="00914306">
              <w:rPr>
                <w:lang w:val="en-GB" w:eastAsia="ar-SA"/>
              </w:rPr>
              <w:t xml:space="preserve"> s</w:t>
            </w:r>
            <w:r w:rsidRPr="00914306">
              <w:rPr>
                <w:lang w:val="en-GB" w:eastAsia="ar-SA"/>
              </w:rPr>
              <w:t>tatements</w:t>
            </w:r>
            <w:r w:rsidRPr="00914306">
              <w:rPr>
                <w:lang w:val="en-GB" w:eastAsia="ar-SA"/>
              </w:rPr>
              <w:t>, properties of the operations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 xml:space="preserve">Equivalent </w:t>
            </w:r>
            <w:r w:rsidR="00914306">
              <w:rPr>
                <w:lang w:val="en-GB" w:eastAsia="ar-SA"/>
              </w:rPr>
              <w:t>s</w:t>
            </w:r>
            <w:r w:rsidRPr="00914306">
              <w:rPr>
                <w:lang w:val="en-GB" w:eastAsia="ar-SA"/>
              </w:rPr>
              <w:t>tatements, negating s</w:t>
            </w:r>
            <w:r w:rsidRPr="00914306">
              <w:rPr>
                <w:lang w:val="en-GB" w:eastAsia="ar-SA"/>
              </w:rPr>
              <w:t xml:space="preserve">tatements. 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Implications and Their Connections</w:t>
            </w:r>
            <w:r w:rsidRPr="00914306">
              <w:rPr>
                <w:lang w:val="en-GB" w:eastAsia="ar-SA"/>
              </w:rPr>
              <w:t>. Methods of poof.</w:t>
            </w:r>
            <w:r w:rsidRPr="00914306">
              <w:rPr>
                <w:lang w:val="en-GB" w:eastAsia="ar-SA"/>
              </w:rPr>
              <w:t xml:space="preserve"> </w:t>
            </w:r>
          </w:p>
          <w:p w:rsidR="00EB25E1" w:rsidRPr="00914306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1st midterm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Predicates and Quantifiers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Negating Quantifiers</w:t>
            </w:r>
            <w:r w:rsidRPr="00914306">
              <w:rPr>
                <w:lang w:val="en-GB" w:eastAsia="ar-SA"/>
              </w:rPr>
              <w:t xml:space="preserve">, </w:t>
            </w:r>
            <w:r w:rsidRPr="00914306">
              <w:rPr>
                <w:lang w:val="en-GB" w:eastAsia="ar-SA"/>
              </w:rPr>
              <w:t>Statements with Several Quantifiers and/or Variables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Statements with Several Quantifiers and/or Variables</w:t>
            </w:r>
            <w:r w:rsidR="00EB25E1" w:rsidRPr="00914306">
              <w:rPr>
                <w:lang w:val="en-GB" w:eastAsia="ar-SA"/>
              </w:rPr>
              <w:t xml:space="preserve"> 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>The definition of sets and relations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 w:rsidRPr="00914306">
              <w:rPr>
                <w:lang w:val="en-GB" w:eastAsia="ar-SA"/>
              </w:rPr>
              <w:t xml:space="preserve">Properties of relations, Equivalence relation, </w:t>
            </w:r>
            <w:r w:rsidRPr="00914306">
              <w:rPr>
                <w:lang w:val="en-GB" w:eastAsia="ar-SA"/>
              </w:rPr>
              <w:t>equivalence classes</w:t>
            </w:r>
          </w:p>
          <w:p w:rsidR="00EB25E1" w:rsidRPr="00914306" w:rsidRDefault="00914306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lang w:val="en-GB" w:eastAsia="ar-SA"/>
              </w:rPr>
            </w:pPr>
            <w:r>
              <w:rPr>
                <w:lang w:val="en-GB" w:eastAsia="ar-SA"/>
              </w:rPr>
              <w:t>Mapping as a special relation</w:t>
            </w:r>
            <w:r w:rsidR="00EB25E1" w:rsidRPr="00914306">
              <w:rPr>
                <w:lang w:val="en-GB" w:eastAsia="ar-SA"/>
              </w:rPr>
              <w:t>.</w:t>
            </w:r>
            <w:r w:rsidR="0073487B" w:rsidRPr="00914306">
              <w:rPr>
                <w:lang w:val="en-GB" w:eastAsia="ar-SA"/>
              </w:rPr>
              <w:t xml:space="preserve"> </w:t>
            </w:r>
          </w:p>
          <w:p w:rsidR="00EB25E1" w:rsidRPr="00EB25E1" w:rsidRDefault="00EB25E1" w:rsidP="00EB25E1">
            <w:pPr>
              <w:pStyle w:val="Listaszerbekezds"/>
              <w:numPr>
                <w:ilvl w:val="0"/>
                <w:numId w:val="8"/>
              </w:numPr>
              <w:tabs>
                <w:tab w:val="left" w:pos="999"/>
              </w:tabs>
              <w:suppressAutoHyphens/>
              <w:autoSpaceDE w:val="0"/>
              <w:ind w:right="283"/>
              <w:jc w:val="both"/>
              <w:rPr>
                <w:color w:val="000000" w:themeColor="text1"/>
                <w:sz w:val="22"/>
                <w:szCs w:val="22"/>
              </w:rPr>
            </w:pPr>
            <w:r w:rsidRPr="00914306">
              <w:rPr>
                <w:lang w:val="en-GB" w:eastAsia="ar-SA"/>
              </w:rPr>
              <w:t>2nd</w:t>
            </w:r>
            <w:r w:rsidRPr="00914306">
              <w:rPr>
                <w:lang w:val="en-GB" w:eastAsia="ar-SA"/>
              </w:rPr>
              <w:t xml:space="preserve"> midterm.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15. Mid-semester works</w:t>
            </w:r>
          </w:p>
          <w:p w:rsidR="00C33A5E" w:rsidRPr="0073487B" w:rsidRDefault="00377448">
            <w:pPr>
              <w:rPr>
                <w:lang w:val="en-GB"/>
              </w:rPr>
            </w:pPr>
            <w:bookmarkStart w:id="1" w:name="_30j0zll" w:colFirst="0" w:colLast="0"/>
            <w:bookmarkEnd w:id="1"/>
            <w:r w:rsidRPr="0073487B">
              <w:rPr>
                <w:lang w:val="en-GB"/>
              </w:rPr>
              <w:t>Attending lectures is highly recommended.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16. Course requirements and grading </w:t>
            </w:r>
          </w:p>
          <w:p w:rsidR="009506F7" w:rsidRPr="00914306" w:rsidRDefault="009506F7" w:rsidP="009506F7">
            <w:pPr>
              <w:jc w:val="both"/>
              <w:rPr>
                <w:lang w:val="en-GB"/>
              </w:rPr>
            </w:pPr>
            <w:r w:rsidRPr="00914306">
              <w:rPr>
                <w:lang w:val="en-GB"/>
              </w:rPr>
              <w:t>the two tests contribute 50-50% toward the final grade:</w:t>
            </w:r>
          </w:p>
          <w:p w:rsidR="009506F7" w:rsidRPr="00914306" w:rsidRDefault="009506F7" w:rsidP="009506F7">
            <w:pPr>
              <w:widowControl/>
              <w:numPr>
                <w:ilvl w:val="0"/>
                <w:numId w:val="6"/>
              </w:numPr>
              <w:suppressAutoHyphens/>
              <w:jc w:val="both"/>
              <w:rPr>
                <w:lang w:val="en-GB"/>
              </w:rPr>
            </w:pPr>
            <w:r w:rsidRPr="00914306">
              <w:rPr>
                <w:lang w:val="en-GB"/>
              </w:rPr>
              <w:t>41% – acceptable</w:t>
            </w:r>
          </w:p>
          <w:p w:rsidR="009506F7" w:rsidRPr="00914306" w:rsidRDefault="009506F7" w:rsidP="009506F7">
            <w:pPr>
              <w:widowControl/>
              <w:numPr>
                <w:ilvl w:val="0"/>
                <w:numId w:val="6"/>
              </w:numPr>
              <w:suppressAutoHyphens/>
              <w:jc w:val="both"/>
              <w:rPr>
                <w:lang w:val="en-GB"/>
              </w:rPr>
            </w:pPr>
            <w:r w:rsidRPr="00914306">
              <w:rPr>
                <w:lang w:val="en-GB"/>
              </w:rPr>
              <w:t>55% – average</w:t>
            </w:r>
          </w:p>
          <w:p w:rsidR="009506F7" w:rsidRPr="00914306" w:rsidRDefault="009506F7" w:rsidP="009506F7">
            <w:pPr>
              <w:widowControl/>
              <w:numPr>
                <w:ilvl w:val="0"/>
                <w:numId w:val="6"/>
              </w:numPr>
              <w:suppressAutoHyphens/>
              <w:jc w:val="both"/>
              <w:rPr>
                <w:lang w:val="en-GB"/>
              </w:rPr>
            </w:pPr>
            <w:r w:rsidRPr="00914306">
              <w:rPr>
                <w:lang w:val="en-GB"/>
              </w:rPr>
              <w:t>68% – good</w:t>
            </w:r>
          </w:p>
          <w:p w:rsidR="009506F7" w:rsidRPr="00914306" w:rsidRDefault="009506F7" w:rsidP="009506F7">
            <w:pPr>
              <w:widowControl/>
              <w:numPr>
                <w:ilvl w:val="0"/>
                <w:numId w:val="6"/>
              </w:numPr>
              <w:suppressAutoHyphens/>
              <w:jc w:val="both"/>
              <w:rPr>
                <w:lang w:val="en-GB"/>
              </w:rPr>
            </w:pPr>
            <w:r w:rsidRPr="00914306">
              <w:rPr>
                <w:lang w:val="en-GB"/>
              </w:rPr>
              <w:t xml:space="preserve">84% – </w:t>
            </w:r>
            <w:r w:rsidR="00914306" w:rsidRPr="00914306">
              <w:rPr>
                <w:lang w:val="en-GB"/>
              </w:rPr>
              <w:t>excellent</w:t>
            </w:r>
          </w:p>
          <w:p w:rsidR="009506F7" w:rsidRPr="00914306" w:rsidRDefault="009506F7" w:rsidP="009506F7">
            <w:pPr>
              <w:rPr>
                <w:szCs w:val="24"/>
                <w:lang w:val="en-GB"/>
              </w:rPr>
            </w:pPr>
            <w:r w:rsidRPr="00914306">
              <w:rPr>
                <w:lang w:val="en-GB"/>
              </w:rPr>
              <w:t>Make up tests: at the end of the semester.</w:t>
            </w:r>
          </w:p>
          <w:p w:rsidR="00C33A5E" w:rsidRPr="0073487B" w:rsidRDefault="009506F7" w:rsidP="009506F7">
            <w:pPr>
              <w:ind w:left="142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Failed tests must be repeated.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A20837" w:rsidRDefault="00377448">
            <w:pPr>
              <w:jc w:val="both"/>
              <w:rPr>
                <w:b/>
                <w:color w:val="000000" w:themeColor="text1"/>
                <w:sz w:val="24"/>
                <w:szCs w:val="24"/>
                <w:lang w:val="en-GB"/>
              </w:rPr>
            </w:pPr>
            <w:r w:rsidRPr="00A20837">
              <w:rPr>
                <w:b/>
                <w:color w:val="000000" w:themeColor="text1"/>
                <w:sz w:val="24"/>
                <w:szCs w:val="24"/>
                <w:lang w:val="en-GB"/>
              </w:rPr>
              <w:t>17. List of readings</w:t>
            </w:r>
          </w:p>
          <w:p w:rsidR="00C33A5E" w:rsidRPr="00A20837" w:rsidRDefault="00A20837" w:rsidP="008B031B">
            <w:pPr>
              <w:widowControl/>
              <w:outlineLvl w:val="0"/>
              <w:rPr>
                <w:color w:val="000000" w:themeColor="text1"/>
                <w:sz w:val="24"/>
                <w:szCs w:val="24"/>
                <w:lang w:val="en"/>
              </w:rPr>
            </w:pPr>
            <w:r w:rsidRPr="00A20837">
              <w:rPr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A65D1B">
              <w:rPr>
                <w:color w:val="000000" w:themeColor="text1"/>
                <w:sz w:val="24"/>
                <w:szCs w:val="24"/>
                <w:lang w:val="en"/>
              </w:rPr>
              <w:t xml:space="preserve">Wolfgang </w:t>
            </w:r>
            <w:proofErr w:type="spellStart"/>
            <w:r w:rsidR="00A65D1B">
              <w:rPr>
                <w:color w:val="000000" w:themeColor="text1"/>
                <w:sz w:val="24"/>
                <w:szCs w:val="24"/>
                <w:lang w:val="en"/>
              </w:rPr>
              <w:t>Rautenberg</w:t>
            </w:r>
            <w:proofErr w:type="spellEnd"/>
            <w:r w:rsidR="00A65D1B">
              <w:rPr>
                <w:color w:val="000000" w:themeColor="text1"/>
                <w:sz w:val="24"/>
                <w:szCs w:val="24"/>
                <w:lang w:val="en"/>
              </w:rPr>
              <w:t xml:space="preserve">; A Concise </w:t>
            </w:r>
            <w:proofErr w:type="spellStart"/>
            <w:r w:rsidR="00A65D1B">
              <w:rPr>
                <w:color w:val="000000" w:themeColor="text1"/>
                <w:sz w:val="24"/>
                <w:szCs w:val="24"/>
                <w:lang w:val="en"/>
              </w:rPr>
              <w:t>Introdutcion</w:t>
            </w:r>
            <w:proofErr w:type="spellEnd"/>
            <w:r w:rsidR="00A65D1B">
              <w:rPr>
                <w:color w:val="000000" w:themeColor="text1"/>
                <w:sz w:val="24"/>
                <w:szCs w:val="24"/>
                <w:lang w:val="en"/>
              </w:rPr>
              <w:t xml:space="preserve"> to Mathematical Logic (3</w:t>
            </w:r>
            <w:r w:rsidR="00A65D1B" w:rsidRPr="00A65D1B">
              <w:rPr>
                <w:color w:val="000000" w:themeColor="text1"/>
                <w:sz w:val="24"/>
                <w:szCs w:val="24"/>
                <w:vertAlign w:val="superscript"/>
                <w:lang w:val="en"/>
              </w:rPr>
              <w:t>rd</w:t>
            </w:r>
            <w:r w:rsidR="00A65D1B">
              <w:rPr>
                <w:color w:val="000000" w:themeColor="text1"/>
                <w:sz w:val="24"/>
                <w:szCs w:val="24"/>
                <w:lang w:val="en"/>
              </w:rPr>
              <w:t xml:space="preserve"> edition</w:t>
            </w:r>
            <w:bookmarkStart w:id="2" w:name="_GoBack"/>
            <w:bookmarkEnd w:id="2"/>
            <w:r w:rsidR="00A65D1B">
              <w:rPr>
                <w:color w:val="000000" w:themeColor="text1"/>
                <w:sz w:val="24"/>
                <w:szCs w:val="24"/>
                <w:lang w:val="en"/>
              </w:rPr>
              <w:t>), Springer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A20837" w:rsidRDefault="00C33A5E">
            <w:pPr>
              <w:rPr>
                <w:b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lastRenderedPageBreak/>
              <w:t xml:space="preserve">18. Recommended texts, further readings </w:t>
            </w:r>
          </w:p>
          <w:p w:rsidR="00A20837" w:rsidRPr="0073487B" w:rsidRDefault="00A20837">
            <w:pPr>
              <w:jc w:val="both"/>
              <w:rPr>
                <w:lang w:val="en-GB"/>
              </w:rPr>
            </w:pP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377448">
            <w:pPr>
              <w:jc w:val="center"/>
              <w:rPr>
                <w:b/>
                <w:lang w:val="en-GB"/>
              </w:rPr>
            </w:pPr>
            <w:r w:rsidRPr="0073487B">
              <w:rPr>
                <w:lang w:val="en-GB"/>
              </w:rP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420"/>
          <w:jc w:val="center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377448" w:rsidRPr="0073487B">
              <w:rPr>
                <w:lang w:val="en-GB"/>
              </w:rPr>
              <w:t>, PhD</w:t>
            </w:r>
          </w:p>
          <w:p w:rsidR="00C33A5E" w:rsidRPr="0073487B" w:rsidRDefault="00377448">
            <w:pPr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responsible teacher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160"/>
          <w:jc w:val="center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 xml:space="preserve">László Tóth, PhD, </w:t>
            </w:r>
            <w:proofErr w:type="spellStart"/>
            <w:r w:rsidRPr="0073487B">
              <w:rPr>
                <w:lang w:val="en-GB"/>
              </w:rPr>
              <w:t>Dr.</w:t>
            </w:r>
            <w:proofErr w:type="spellEnd"/>
            <w:r w:rsidRPr="0073487B">
              <w:rPr>
                <w:lang w:val="en-GB"/>
              </w:rPr>
              <w:t xml:space="preserve">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  <w:r w:rsidR="00377448" w:rsidRPr="0073487B">
              <w:rPr>
                <w:lang w:val="en-GB"/>
              </w:rPr>
              <w:br/>
              <w:t xml:space="preserve">program supervisor </w:t>
            </w:r>
          </w:p>
        </w:tc>
      </w:tr>
    </w:tbl>
    <w:p w:rsidR="00C33A5E" w:rsidRPr="0073487B" w:rsidRDefault="00C33A5E">
      <w:pPr>
        <w:rPr>
          <w:lang w:val="en-GB"/>
        </w:rPr>
      </w:pPr>
    </w:p>
    <w:sectPr w:rsidR="00C33A5E" w:rsidRPr="0073487B">
      <w:headerReference w:type="default" r:id="rId8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FBD" w:rsidRDefault="00140FBD">
      <w:r>
        <w:separator/>
      </w:r>
    </w:p>
  </w:endnote>
  <w:endnote w:type="continuationSeparator" w:id="0">
    <w:p w:rsidR="00140FBD" w:rsidRDefault="0014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FBD" w:rsidRDefault="00140FBD">
      <w:r>
        <w:separator/>
      </w:r>
    </w:p>
  </w:footnote>
  <w:footnote w:type="continuationSeparator" w:id="0">
    <w:p w:rsidR="00140FBD" w:rsidRDefault="00140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58" w:rsidRDefault="00B16658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16658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pStyle w:val="Cmsor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proofErr w:type="spellStart"/>
          <w:r>
            <w:rPr>
              <w:b/>
              <w:sz w:val="28"/>
              <w:szCs w:val="28"/>
            </w:rPr>
            <w:t>Course</w:t>
          </w:r>
          <w:proofErr w:type="spellEnd"/>
          <w:r>
            <w:rPr>
              <w:b/>
              <w:sz w:val="28"/>
              <w:szCs w:val="28"/>
            </w:rPr>
            <w:t xml:space="preserve"> </w:t>
          </w:r>
          <w:proofErr w:type="spellStart"/>
          <w:r>
            <w:rPr>
              <w:b/>
              <w:sz w:val="28"/>
              <w:szCs w:val="28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jc w:val="right"/>
          </w:pPr>
          <w:proofErr w:type="spellStart"/>
          <w:r>
            <w:t>Page</w:t>
          </w:r>
          <w:proofErr w:type="spellEnd"/>
          <w:r>
            <w:t xml:space="preserve">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A65D1B">
            <w:rPr>
              <w:noProof/>
            </w:rPr>
            <w:t>2</w:t>
          </w:r>
          <w:r>
            <w:fldChar w:fldCharType="end"/>
          </w:r>
          <w:r>
            <w:t>/2</w:t>
          </w:r>
        </w:p>
      </w:tc>
    </w:tr>
  </w:tbl>
  <w:p w:rsidR="00B16658" w:rsidRDefault="00B16658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lvlText w:val="%1. hét:"/>
      <w:lvlJc w:val="left"/>
      <w:pPr>
        <w:tabs>
          <w:tab w:val="num" w:pos="426"/>
        </w:tabs>
        <w:ind w:left="786" w:hanging="360"/>
      </w:pPr>
    </w:lvl>
  </w:abstractNum>
  <w:abstractNum w:abstractNumId="2">
    <w:nsid w:val="150C2C7E"/>
    <w:multiLevelType w:val="multilevel"/>
    <w:tmpl w:val="B82A94A4"/>
    <w:lvl w:ilvl="0">
      <w:start w:val="1"/>
      <w:numFmt w:val="decimal"/>
      <w:lvlText w:val="Week 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255D1CA6"/>
    <w:multiLevelType w:val="multilevel"/>
    <w:tmpl w:val="B82A94A4"/>
    <w:lvl w:ilvl="0">
      <w:start w:val="1"/>
      <w:numFmt w:val="decimal"/>
      <w:lvlText w:val="Week 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>
    <w:nsid w:val="30B26336"/>
    <w:multiLevelType w:val="multilevel"/>
    <w:tmpl w:val="AB323744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46C37262"/>
    <w:multiLevelType w:val="multilevel"/>
    <w:tmpl w:val="CA104EE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727E1517"/>
    <w:multiLevelType w:val="multilevel"/>
    <w:tmpl w:val="B3788D1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287D2B"/>
    <w:multiLevelType w:val="hybridMultilevel"/>
    <w:tmpl w:val="5A90B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3A5E"/>
    <w:rsid w:val="0011249C"/>
    <w:rsid w:val="00140FBD"/>
    <w:rsid w:val="00186DF2"/>
    <w:rsid w:val="00377448"/>
    <w:rsid w:val="004F13B6"/>
    <w:rsid w:val="005E0731"/>
    <w:rsid w:val="0073487B"/>
    <w:rsid w:val="00882C4D"/>
    <w:rsid w:val="008B031B"/>
    <w:rsid w:val="00914306"/>
    <w:rsid w:val="00943D17"/>
    <w:rsid w:val="009506F7"/>
    <w:rsid w:val="00A20837"/>
    <w:rsid w:val="00A65D1B"/>
    <w:rsid w:val="00AF4878"/>
    <w:rsid w:val="00B16658"/>
    <w:rsid w:val="00B638F9"/>
    <w:rsid w:val="00C33A5E"/>
    <w:rsid w:val="00C37CBE"/>
    <w:rsid w:val="00EB25E1"/>
    <w:rsid w:val="00FC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  <w:style w:type="character" w:customStyle="1" w:styleId="Szvegtrzs2Char">
    <w:name w:val="Szövegtörzs 2 Char"/>
    <w:aliases w:val=" Char Char"/>
    <w:link w:val="Szvegtrzs2"/>
    <w:uiPriority w:val="99"/>
    <w:rsid w:val="009506F7"/>
    <w:rPr>
      <w:rFonts w:ascii="Times New Roman" w:hAnsi="Times New Roman" w:cs="Times New Roman" w:hint="default"/>
      <w:b/>
      <w:bCs/>
      <w:lang w:val="hu-HU"/>
    </w:rPr>
  </w:style>
  <w:style w:type="paragraph" w:styleId="Szvegtrzs2">
    <w:name w:val="Body Text 2"/>
    <w:aliases w:val=" Char"/>
    <w:basedOn w:val="Norml"/>
    <w:link w:val="Szvegtrzs2Char"/>
    <w:uiPriority w:val="99"/>
    <w:rsid w:val="00EB25E1"/>
    <w:pPr>
      <w:widowControl/>
      <w:autoSpaceDE w:val="0"/>
      <w:autoSpaceDN w:val="0"/>
      <w:jc w:val="both"/>
    </w:pPr>
    <w:rPr>
      <w:b/>
      <w:bCs/>
    </w:rPr>
  </w:style>
  <w:style w:type="character" w:customStyle="1" w:styleId="Szvegtrzs2Char1">
    <w:name w:val="Szövegtörzs 2 Char1"/>
    <w:basedOn w:val="Bekezdsalapbettpusa"/>
    <w:uiPriority w:val="99"/>
    <w:semiHidden/>
    <w:rsid w:val="00EB2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  <w:style w:type="character" w:customStyle="1" w:styleId="Szvegtrzs2Char">
    <w:name w:val="Szövegtörzs 2 Char"/>
    <w:aliases w:val=" Char Char"/>
    <w:link w:val="Szvegtrzs2"/>
    <w:uiPriority w:val="99"/>
    <w:rsid w:val="009506F7"/>
    <w:rPr>
      <w:rFonts w:ascii="Times New Roman" w:hAnsi="Times New Roman" w:cs="Times New Roman" w:hint="default"/>
      <w:b/>
      <w:bCs/>
      <w:lang w:val="hu-HU"/>
    </w:rPr>
  </w:style>
  <w:style w:type="paragraph" w:styleId="Szvegtrzs2">
    <w:name w:val="Body Text 2"/>
    <w:aliases w:val=" Char"/>
    <w:basedOn w:val="Norml"/>
    <w:link w:val="Szvegtrzs2Char"/>
    <w:uiPriority w:val="99"/>
    <w:rsid w:val="00EB25E1"/>
    <w:pPr>
      <w:widowControl/>
      <w:autoSpaceDE w:val="0"/>
      <w:autoSpaceDN w:val="0"/>
      <w:jc w:val="both"/>
    </w:pPr>
    <w:rPr>
      <w:b/>
      <w:bCs/>
    </w:rPr>
  </w:style>
  <w:style w:type="character" w:customStyle="1" w:styleId="Szvegtrzs2Char1">
    <w:name w:val="Szövegtörzs 2 Char1"/>
    <w:basedOn w:val="Bekezdsalapbettpusa"/>
    <w:uiPriority w:val="99"/>
    <w:semiHidden/>
    <w:rsid w:val="00EB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7104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3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6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85237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88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73763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1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0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3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11456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7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2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Eisner Tímea</cp:lastModifiedBy>
  <cp:revision>6</cp:revision>
  <dcterms:created xsi:type="dcterms:W3CDTF">2017-05-10T20:03:00Z</dcterms:created>
  <dcterms:modified xsi:type="dcterms:W3CDTF">2017-05-10T20:55:00Z</dcterms:modified>
</cp:coreProperties>
</file>