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761F" w:rsidRDefault="007A761F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222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7A761F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r>
              <w:rPr>
                <w:b/>
              </w:rPr>
              <w:t>1. Course title:</w:t>
            </w:r>
            <w:r>
              <w:t xml:space="preserve"> English Mathematical Terminology</w:t>
            </w:r>
          </w:p>
        </w:tc>
      </w:tr>
      <w:tr w:rsidR="007A761F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>
              <w:rPr>
                <w:b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>3. Type (lecture, practice etc.):</w:t>
            </w:r>
            <w:r>
              <w:t xml:space="preserve"> seminar</w:t>
            </w:r>
          </w:p>
        </w:tc>
      </w:tr>
      <w:tr w:rsidR="007A761F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pPr>
              <w:tabs>
                <w:tab w:val="center" w:pos="4536"/>
                <w:tab w:val="right" w:pos="9072"/>
              </w:tabs>
              <w:rPr>
                <w:b/>
              </w:rPr>
            </w:pPr>
            <w:r>
              <w:rPr>
                <w:b/>
              </w:rPr>
              <w:t>4. Contact hours:</w:t>
            </w:r>
            <w:r>
              <w:t xml:space="preserve"> 2 hours</w:t>
            </w:r>
            <w:r>
              <w:rPr>
                <w:b/>
              </w:rPr>
              <w:t xml:space="preserve"> </w:t>
            </w:r>
            <w: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>5. Number of credits (ECTS):</w:t>
            </w:r>
            <w:r>
              <w:t xml:space="preserve"> 2</w:t>
            </w:r>
          </w:p>
        </w:tc>
      </w:tr>
      <w:tr w:rsidR="007A761F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761F" w:rsidRDefault="00A95853">
            <w:pPr>
              <w:jc w:val="both"/>
              <w:rPr>
                <w:b/>
              </w:rPr>
            </w:pPr>
            <w:r>
              <w:rPr>
                <w:b/>
              </w:rPr>
              <w:t xml:space="preserve">6. Preliminary conditions (max. 3): </w:t>
            </w:r>
          </w:p>
          <w:p w:rsidR="007A761F" w:rsidRDefault="007A761F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</w:pPr>
          </w:p>
          <w:p w:rsidR="007A761F" w:rsidRDefault="007A761F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</w:pPr>
          </w:p>
          <w:p w:rsidR="007A761F" w:rsidRDefault="007A761F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</w:pPr>
          </w:p>
        </w:tc>
      </w:tr>
      <w:tr w:rsidR="007A761F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pPr>
              <w:tabs>
                <w:tab w:val="center" w:pos="4536"/>
                <w:tab w:val="right" w:pos="9072"/>
              </w:tabs>
            </w:pPr>
            <w:bookmarkStart w:id="0" w:name="_gjdgxs" w:colFirst="0" w:colLast="0"/>
            <w:bookmarkEnd w:id="0"/>
            <w:r>
              <w:rPr>
                <w:b/>
              </w:rPr>
              <w:t xml:space="preserve">7. Announced: </w:t>
            </w:r>
            <w:r>
              <w:t xml:space="preserve">☒fall semester, ☐spring semester, ☐both </w:t>
            </w:r>
          </w:p>
        </w:tc>
      </w:tr>
      <w:tr w:rsidR="007A761F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r>
              <w:rPr>
                <w:b/>
              </w:rPr>
              <w:t>8. Limit for participants:</w:t>
            </w:r>
            <w:r>
              <w:t xml:space="preserve"> 25</w:t>
            </w:r>
          </w:p>
        </w:tc>
      </w:tr>
      <w:tr w:rsidR="007A761F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pPr>
              <w:tabs>
                <w:tab w:val="center" w:pos="4536"/>
                <w:tab w:val="right" w:pos="9072"/>
              </w:tabs>
            </w:pPr>
            <w:r>
              <w:rPr>
                <w:b/>
              </w:rPr>
              <w:t xml:space="preserve">10. Responsible teacher (faculty, institute and department): </w:t>
            </w:r>
          </w:p>
          <w:p w:rsidR="007A761F" w:rsidRDefault="00A95853">
            <w:pPr>
              <w:tabs>
                <w:tab w:val="center" w:pos="4536"/>
                <w:tab w:val="right" w:pos="9072"/>
              </w:tabs>
              <w:ind w:left="708"/>
            </w:pPr>
            <w:proofErr w:type="spellStart"/>
            <w:r>
              <w:t>András</w:t>
            </w:r>
            <w:proofErr w:type="spellEnd"/>
            <w:r>
              <w:t xml:space="preserve"> B. </w:t>
            </w:r>
            <w:proofErr w:type="spellStart"/>
            <w:r>
              <w:t>Frigyik</w:t>
            </w:r>
            <w:proofErr w:type="spellEnd"/>
            <w:r>
              <w:t xml:space="preserve">, PhD (Faculty of Science, Institute of Mathematics and Informatics, Department of  Applied Mathematics) </w:t>
            </w:r>
          </w:p>
        </w:tc>
      </w:tr>
      <w:tr w:rsidR="007A761F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pPr>
              <w:jc w:val="both"/>
              <w:rPr>
                <w:b/>
              </w:rPr>
            </w:pPr>
            <w:r>
              <w:rPr>
                <w:b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pPr>
              <w:tabs>
                <w:tab w:val="center" w:pos="4536"/>
                <w:tab w:val="right" w:pos="9072"/>
              </w:tabs>
            </w:pPr>
            <w:proofErr w:type="spellStart"/>
            <w:r>
              <w:t>András</w:t>
            </w:r>
            <w:proofErr w:type="spellEnd"/>
            <w:r>
              <w:t xml:space="preserve"> B. </w:t>
            </w:r>
            <w:proofErr w:type="spellStart"/>
            <w:r>
              <w:t>Frigyik</w:t>
            </w:r>
            <w:proofErr w:type="spellEnd"/>
            <w: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pPr>
              <w:tabs>
                <w:tab w:val="center" w:pos="4536"/>
                <w:tab w:val="right" w:pos="9072"/>
              </w:tabs>
              <w:jc w:val="center"/>
            </w:pPr>
            <w:r>
              <w:t>100 %</w:t>
            </w:r>
          </w:p>
        </w:tc>
      </w:tr>
      <w:tr w:rsidR="007A761F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7A761F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7A761F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7A761F"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tabs>
                <w:tab w:val="center" w:pos="4536"/>
                <w:tab w:val="right" w:pos="9072"/>
              </w:tabs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7A761F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r>
              <w:rPr>
                <w:b/>
              </w:rPr>
              <w:t xml:space="preserve">12. Language: </w:t>
            </w:r>
            <w:r>
              <w:t>English</w:t>
            </w:r>
          </w:p>
        </w:tc>
      </w:tr>
      <w:tr w:rsidR="007A761F"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761F" w:rsidRDefault="00A95853">
            <w:pPr>
              <w:jc w:val="both"/>
            </w:pPr>
            <w:r>
              <w:rPr>
                <w:b/>
              </w:rPr>
              <w:t xml:space="preserve">13. Course objectives and/or learning outcomes: </w:t>
            </w:r>
          </w:p>
          <w:p w:rsidR="007A761F" w:rsidRDefault="00A95853">
            <w:pPr>
              <w:jc w:val="both"/>
            </w:pPr>
            <w:r>
              <w:rPr>
                <w:b/>
              </w:rPr>
              <w:t>Objectives:</w:t>
            </w:r>
            <w:r>
              <w:t xml:space="preserve"> The </w:t>
            </w:r>
            <w:r>
              <w:t>goal of the seminar is to introduce the students to the mathematical terminology of the international language of mathematics.</w:t>
            </w:r>
          </w:p>
          <w:p w:rsidR="007A761F" w:rsidRDefault="00A95853">
            <w:pPr>
              <w:jc w:val="both"/>
              <w:rPr>
                <w:b/>
              </w:rPr>
            </w:pPr>
            <w:r>
              <w:rPr>
                <w:b/>
              </w:rPr>
              <w:t>Learning outcomes:</w:t>
            </w:r>
            <w:r>
              <w:t xml:space="preserve"> students completing the course will have</w:t>
            </w:r>
            <w:r>
              <w:t xml:space="preserve"> some</w:t>
            </w:r>
            <w:r>
              <w:t xml:space="preserve"> familiarity with the mathematical terminology in English.</w:t>
            </w:r>
          </w:p>
        </w:tc>
      </w:tr>
      <w:tr w:rsidR="007A761F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sz w:val="2"/>
                <w:szCs w:val="2"/>
              </w:rPr>
            </w:pPr>
          </w:p>
        </w:tc>
      </w:tr>
      <w:tr w:rsidR="007A761F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761F" w:rsidRDefault="00A9585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14. Course outline </w:t>
            </w:r>
          </w:p>
          <w:p w:rsidR="007A761F" w:rsidRDefault="00A95853">
            <w:r>
              <w:rPr>
                <w:sz w:val="22"/>
                <w:szCs w:val="22"/>
              </w:rPr>
              <w:t>1-13 weeks Discussion of the assigned papers and book chapters</w:t>
            </w:r>
          </w:p>
        </w:tc>
      </w:tr>
      <w:tr w:rsidR="007A761F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r>
              <w:rPr>
                <w:b/>
              </w:rPr>
              <w:t>15. Mid-semester works</w:t>
            </w:r>
          </w:p>
          <w:p w:rsidR="007A761F" w:rsidRDefault="00A95853">
            <w:bookmarkStart w:id="1" w:name="_30j0zll" w:colFirst="0" w:colLast="0"/>
            <w:bookmarkEnd w:id="1"/>
            <w:r>
              <w:t>Preparing and giving reports on the papers and book chapters read.</w:t>
            </w:r>
          </w:p>
        </w:tc>
      </w:tr>
      <w:tr w:rsidR="007A761F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r>
              <w:rPr>
                <w:b/>
              </w:rPr>
              <w:t xml:space="preserve">16. Course requirements and grading </w:t>
            </w:r>
          </w:p>
          <w:p w:rsidR="007A761F" w:rsidRDefault="00A95853">
            <w:r>
              <w:t>The grade is based on the reports presented by the students during the semester.</w:t>
            </w:r>
          </w:p>
        </w:tc>
      </w:tr>
      <w:tr w:rsidR="007A761F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761F" w:rsidRDefault="00A95853">
            <w:pPr>
              <w:jc w:val="both"/>
              <w:rPr>
                <w:b/>
              </w:rPr>
            </w:pPr>
            <w:r>
              <w:rPr>
                <w:b/>
              </w:rPr>
              <w:t>17. List of readings</w:t>
            </w:r>
          </w:p>
          <w:p w:rsidR="007A761F" w:rsidRDefault="00A95853">
            <w:pPr>
              <w:numPr>
                <w:ilvl w:val="0"/>
                <w:numId w:val="2"/>
              </w:numPr>
              <w:ind w:hanging="360"/>
              <w:contextualSpacing/>
            </w:pPr>
            <w:r>
              <w:rPr>
                <w:color w:val="222222"/>
                <w:highlight w:val="white"/>
              </w:rPr>
              <w:t xml:space="preserve">Schwartzman, Steven. </w:t>
            </w:r>
            <w:r>
              <w:rPr>
                <w:i/>
                <w:color w:val="222222"/>
                <w:highlight w:val="white"/>
              </w:rPr>
              <w:t>The words of mathematics: An etymological dictionary of mathematical terms used in English</w:t>
            </w:r>
            <w:r>
              <w:rPr>
                <w:color w:val="222222"/>
                <w:highlight w:val="white"/>
              </w:rPr>
              <w:t>. M</w:t>
            </w:r>
            <w:r>
              <w:rPr>
                <w:color w:val="222222"/>
                <w:highlight w:val="white"/>
              </w:rPr>
              <w:t>AA, 1994.</w:t>
            </w:r>
          </w:p>
        </w:tc>
      </w:tr>
      <w:tr w:rsidR="007A761F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761F" w:rsidRDefault="00A95853">
            <w:pPr>
              <w:jc w:val="both"/>
            </w:pPr>
            <w:r>
              <w:rPr>
                <w:b/>
              </w:rPr>
              <w:t xml:space="preserve">18. Recommended texts, further readings </w:t>
            </w:r>
          </w:p>
        </w:tc>
      </w:tr>
      <w:tr w:rsidR="007A761F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A761F" w:rsidRDefault="00A95853">
            <w:r>
              <w:rPr>
                <w:b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A761F" w:rsidRDefault="00A95853">
            <w:pPr>
              <w:jc w:val="center"/>
              <w:rPr>
                <w:b/>
              </w:rPr>
            </w:pPr>
            <w:r>
              <w:t>4 May,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pPr>
              <w:jc w:val="right"/>
              <w:rPr>
                <w:b/>
              </w:rPr>
            </w:pPr>
            <w:r>
              <w:rPr>
                <w:b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</w:rPr>
            </w:pPr>
          </w:p>
        </w:tc>
      </w:tr>
      <w:tr w:rsidR="007A761F">
        <w:trPr>
          <w:trHeight w:val="420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A761F" w:rsidRDefault="007A761F">
            <w:pPr>
              <w:spacing w:line="276" w:lineRule="auto"/>
              <w:rPr>
                <w:b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A761F" w:rsidRDefault="007A761F">
            <w:pP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</w:rPr>
            </w:pPr>
          </w:p>
          <w:p w:rsidR="007A761F" w:rsidRDefault="007A761F"/>
          <w:p w:rsidR="007A761F" w:rsidRDefault="007A761F"/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pPr>
              <w:tabs>
                <w:tab w:val="center" w:pos="4536"/>
                <w:tab w:val="right" w:pos="9072"/>
              </w:tabs>
            </w:pPr>
            <w:r>
              <w:t xml:space="preserve">            </w:t>
            </w:r>
            <w:proofErr w:type="spellStart"/>
            <w:r>
              <w:t>András</w:t>
            </w:r>
            <w:proofErr w:type="spellEnd"/>
            <w:r>
              <w:t xml:space="preserve"> B. </w:t>
            </w:r>
            <w:proofErr w:type="spellStart"/>
            <w:r>
              <w:t>Frigyik</w:t>
            </w:r>
            <w:proofErr w:type="spellEnd"/>
            <w:r>
              <w:t>, PhD</w:t>
            </w:r>
          </w:p>
          <w:p w:rsidR="007A761F" w:rsidRDefault="00A95853">
            <w:pPr>
              <w:jc w:val="center"/>
            </w:pPr>
            <w:r>
              <w:t>responsible teacher</w:t>
            </w:r>
          </w:p>
        </w:tc>
      </w:tr>
      <w:tr w:rsidR="007A761F">
        <w:trPr>
          <w:gridAfter w:val="1"/>
          <w:wAfter w:w="10" w:type="dxa"/>
          <w:trHeight w:val="20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  <w:sz w:val="2"/>
                <w:szCs w:val="2"/>
              </w:rPr>
            </w:pPr>
          </w:p>
        </w:tc>
      </w:tr>
      <w:tr w:rsidR="007A761F"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A95853">
            <w:pPr>
              <w:jc w:val="right"/>
              <w:rPr>
                <w:b/>
              </w:rPr>
            </w:pPr>
            <w:r>
              <w:rPr>
                <w:b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</w:rPr>
            </w:pPr>
          </w:p>
        </w:tc>
      </w:tr>
      <w:tr w:rsidR="007A761F">
        <w:trPr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A761F" w:rsidRDefault="007A761F">
            <w:pPr>
              <w:rPr>
                <w:b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3BA4" w:rsidRDefault="008B3BA4" w:rsidP="008B3BA4">
            <w:pPr>
              <w:jc w:val="center"/>
            </w:pPr>
            <w:proofErr w:type="spellStart"/>
            <w:r>
              <w:t>László</w:t>
            </w:r>
            <w:proofErr w:type="spellEnd"/>
            <w:r>
              <w:t xml:space="preserve"> </w:t>
            </w:r>
            <w:proofErr w:type="spellStart"/>
            <w:r>
              <w:t>Tóth</w:t>
            </w:r>
            <w:proofErr w:type="spellEnd"/>
            <w:r>
              <w:t>, PhD</w:t>
            </w:r>
          </w:p>
          <w:p w:rsidR="007A761F" w:rsidRDefault="008B3BA4" w:rsidP="008B3BA4">
            <w:pPr>
              <w:jc w:val="center"/>
            </w:pPr>
            <w:r>
              <w:t>program supervisor</w:t>
            </w:r>
            <w:bookmarkStart w:id="2" w:name="_GoBack"/>
            <w:bookmarkEnd w:id="2"/>
          </w:p>
        </w:tc>
      </w:tr>
    </w:tbl>
    <w:p w:rsidR="007A761F" w:rsidRDefault="007A761F"/>
    <w:sectPr w:rsidR="007A761F">
      <w:headerReference w:type="default" r:id="rId8"/>
      <w:pgSz w:w="11906" w:h="16838"/>
      <w:pgMar w:top="1134" w:right="1418" w:bottom="567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853" w:rsidRDefault="00A95853">
      <w:r>
        <w:separator/>
      </w:r>
    </w:p>
  </w:endnote>
  <w:endnote w:type="continuationSeparator" w:id="0">
    <w:p w:rsidR="00A95853" w:rsidRDefault="00A95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853" w:rsidRDefault="00A95853">
      <w:r>
        <w:separator/>
      </w:r>
    </w:p>
  </w:footnote>
  <w:footnote w:type="continuationSeparator" w:id="0">
    <w:p w:rsidR="00A95853" w:rsidRDefault="00A95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61F" w:rsidRDefault="007A761F">
    <w:pPr>
      <w:spacing w:before="426" w:line="276" w:lineRule="auto"/>
    </w:pPr>
  </w:p>
  <w:tbl>
    <w:tblPr>
      <w:tblStyle w:val="a0"/>
      <w:tblW w:w="9242" w:type="dxa"/>
      <w:tblInd w:w="-85" w:type="dxa"/>
      <w:tblLayout w:type="fixed"/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7A761F"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FFFFFF"/>
          <w:vAlign w:val="center"/>
        </w:tcPr>
        <w:p w:rsidR="007A761F" w:rsidRDefault="00A95853">
          <w:pPr>
            <w:pStyle w:val="berschrift4"/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FFFFFF"/>
          <w:vAlign w:val="center"/>
        </w:tcPr>
        <w:p w:rsidR="007A761F" w:rsidRDefault="00A95853">
          <w:pPr>
            <w:keepNext/>
            <w:jc w:val="center"/>
            <w:rPr>
              <w:rFonts w:ascii="Arial" w:eastAsia="Arial" w:hAnsi="Arial" w:cs="Arial"/>
              <w:b/>
              <w:smallCaps/>
              <w:sz w:val="28"/>
              <w:szCs w:val="28"/>
            </w:rPr>
          </w:pPr>
          <w:r>
            <w:rPr>
              <w:b/>
              <w:sz w:val="28"/>
              <w:szCs w:val="28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FFFFFF"/>
          <w:vAlign w:val="center"/>
        </w:tcPr>
        <w:p w:rsidR="007A761F" w:rsidRDefault="00A95853">
          <w:pPr>
            <w:jc w:val="right"/>
          </w:pPr>
          <w:r>
            <w:t xml:space="preserve">Page: </w:t>
          </w:r>
          <w:r>
            <w:fldChar w:fldCharType="begin"/>
          </w:r>
          <w:r>
            <w:instrText>PAGE</w:instrText>
          </w:r>
          <w:r w:rsidR="008B3BA4">
            <w:fldChar w:fldCharType="separate"/>
          </w:r>
          <w:r w:rsidR="008B3BA4">
            <w:rPr>
              <w:noProof/>
            </w:rPr>
            <w:t>1</w:t>
          </w:r>
          <w:r>
            <w:fldChar w:fldCharType="end"/>
          </w:r>
          <w:r>
            <w:t>/2</w:t>
          </w:r>
        </w:p>
      </w:tc>
    </w:tr>
  </w:tbl>
  <w:p w:rsidR="007A761F" w:rsidRDefault="007A761F">
    <w:pPr>
      <w:tabs>
        <w:tab w:val="center" w:pos="4536"/>
        <w:tab w:val="right" w:pos="907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27F"/>
    <w:multiLevelType w:val="multilevel"/>
    <w:tmpl w:val="DEE217AC"/>
    <w:lvl w:ilvl="0">
      <w:start w:val="1"/>
      <w:numFmt w:val="bullet"/>
      <w:lvlText w:val="–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33AC1697"/>
    <w:multiLevelType w:val="multilevel"/>
    <w:tmpl w:val="96F6EE78"/>
    <w:lvl w:ilvl="0">
      <w:start w:val="1"/>
      <w:numFmt w:val="decimal"/>
      <w:lvlText w:val="[%1]"/>
      <w:lvlJc w:val="left"/>
      <w:pPr>
        <w:ind w:left="720" w:firstLine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A761F"/>
    <w:rsid w:val="007A761F"/>
    <w:rsid w:val="008B3BA4"/>
    <w:rsid w:val="00A9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"/>
    <w:next w:val="Standard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"/>
    <w:next w:val="Standard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"/>
    <w:next w:val="Standard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"/>
    <w:next w:val="Standard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en-GB" w:eastAsia="en-GB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"/>
    <w:next w:val="Standard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"/>
    <w:next w:val="Standard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"/>
    <w:next w:val="Standard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"/>
    <w:next w:val="Standard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Laszlo</dc:creator>
  <cp:lastModifiedBy>Laszlo</cp:lastModifiedBy>
  <cp:revision>2</cp:revision>
  <dcterms:created xsi:type="dcterms:W3CDTF">2017-06-06T20:40:00Z</dcterms:created>
  <dcterms:modified xsi:type="dcterms:W3CDTF">2017-06-06T20:40:00Z</dcterms:modified>
</cp:coreProperties>
</file>