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C8ABD" w14:textId="77777777" w:rsidR="00742DB5" w:rsidRPr="00742DB5" w:rsidRDefault="00742DB5" w:rsidP="00B71F27">
      <w:pPr>
        <w:rPr>
          <w:lang w:val="en-GB"/>
        </w:rPr>
      </w:pPr>
      <w:r w:rsidRPr="00742DB5">
        <w:rPr>
          <w:lang w:val="en-GB"/>
        </w:rPr>
        <w:t>Introduction and Objectives</w:t>
      </w:r>
    </w:p>
    <w:p w14:paraId="2D53444F" w14:textId="77777777" w:rsidR="00742DB5" w:rsidRPr="00742DB5" w:rsidRDefault="00742DB5" w:rsidP="00B71F27">
      <w:pPr>
        <w:rPr>
          <w:lang w:val="en-GB"/>
        </w:rPr>
      </w:pPr>
      <w:r w:rsidRPr="00742DB5">
        <w:rPr>
          <w:lang w:val="en-GB"/>
        </w:rPr>
        <w:t>The focus of my thesis is a sport that has become a defining part of my life, not only as an athlete but also as a coach. For me, water polo is not merely a series of competitive situations and tactical challenges, but a complex form of movement that shapes both body and mind. This personal connection, along with the national and international significance of water polo, justified my choice to explore a scientifically less charted yet highly relevant area: the impact of anthropometric characteristics on sports performance.</w:t>
      </w:r>
    </w:p>
    <w:p w14:paraId="6E7067C2" w14:textId="77777777" w:rsidR="00742DB5" w:rsidRPr="00742DB5" w:rsidRDefault="00742DB5" w:rsidP="00B71F27">
      <w:pPr>
        <w:rPr>
          <w:lang w:val="en-GB"/>
        </w:rPr>
      </w:pPr>
      <w:r w:rsidRPr="00742DB5">
        <w:rPr>
          <w:lang w:val="en-GB"/>
        </w:rPr>
        <w:t>Having worked with youth water polo players for over a decade, my goal as both a coach and an educator has always been to support the individual development of athletes through conscious and scientifically grounded training methods. Furthermore, my qualification as a swimming coach allows me to interpret the specificities of the aquatic environment from multiple perspectives. This is particularly crucial in a sport where physical performance is influenced not only by terrestrial factors but also by the unique conditions prevailing in the water.</w:t>
      </w:r>
    </w:p>
    <w:p w14:paraId="69496E3E" w14:textId="77777777" w:rsidR="00742DB5" w:rsidRPr="00742DB5" w:rsidRDefault="00742DB5" w:rsidP="00B71F27">
      <w:pPr>
        <w:rPr>
          <w:lang w:val="en-GB"/>
        </w:rPr>
      </w:pPr>
      <w:r w:rsidRPr="00742DB5">
        <w:rPr>
          <w:lang w:val="en-GB"/>
        </w:rPr>
        <w:t>Despite Hungary’s outstanding international success in water polo, the scientific background and the volume of related literature are modest compared to other sports. This is especially true for the study of youth categories, where athlete development, changes in body composition, and the evolution of motor skills occur during a critical period. One reason for this is that the aquatic environment presents technical difficulties for measuring instruments, leading to limited opportunities for collecting valid and reliable data. This circumstance underscores the importance of studies specifically targeting the anthropometric traits of water polo players and their effects on performance.</w:t>
      </w:r>
    </w:p>
    <w:p w14:paraId="41172899" w14:textId="77777777" w:rsidR="00742DB5" w:rsidRPr="00742DB5" w:rsidRDefault="00742DB5" w:rsidP="00B71F27">
      <w:pPr>
        <w:rPr>
          <w:lang w:val="en-GB"/>
        </w:rPr>
      </w:pPr>
      <w:r w:rsidRPr="00742DB5">
        <w:rPr>
          <w:lang w:val="en-GB"/>
        </w:rPr>
        <w:t>My personal motivation is deeply intertwined with this topic. Over the past ten years, I have observed—both as a coach and as a member of the coaching community—a growing interest among youth-level colleagues in sports science backgrounds and modern training theories. Many international coaches look upon Hungarian water polo with admiration, particularly due to the excellent results of our youth national teams and the high standard of domestic player development. However, this work becomes even more valuable when practical experience is paired with scientific foundations and when research results are made accessible to professionals working in youth development.</w:t>
      </w:r>
    </w:p>
    <w:p w14:paraId="5414801E" w14:textId="2E344D7F" w:rsidR="00742DB5" w:rsidRPr="00742DB5" w:rsidRDefault="00742DB5" w:rsidP="00B71F27">
      <w:pPr>
        <w:rPr>
          <w:lang w:val="en-GB"/>
        </w:rPr>
      </w:pPr>
      <w:r w:rsidRPr="00742DB5">
        <w:rPr>
          <w:lang w:val="en-GB"/>
        </w:rPr>
        <w:t xml:space="preserve">The objective of this thesis is twofold: first, to contribute to the expansion of the scientific background of water polo; and second, to formulate practice-oriented recommendations for coaches who can directly utilize these results in their daily work. During the research, I paid particular attention to anthropometric factors that may show a close correlation with key performance indicators. I hope that the results of such scientific investigations will not only serve the development of the sport at a theoretical level but also provide tangible advantages in practical training. I trust that my thesis will </w:t>
      </w:r>
      <w:r w:rsidRPr="00742DB5">
        <w:rPr>
          <w:lang w:val="en-GB"/>
        </w:rPr>
        <w:lastRenderedPageBreak/>
        <w:t>serve not only as food for thought but also as a useful guide for coaches who—like me—consider water polo their calling and passion.</w:t>
      </w:r>
    </w:p>
    <w:p w14:paraId="3183EDF2" w14:textId="77777777" w:rsidR="00742DB5" w:rsidRPr="00742DB5" w:rsidRDefault="00742DB5" w:rsidP="00B71F27">
      <w:pPr>
        <w:rPr>
          <w:lang w:val="en-GB"/>
        </w:rPr>
      </w:pPr>
      <w:r w:rsidRPr="00742DB5">
        <w:rPr>
          <w:lang w:val="en-GB"/>
        </w:rPr>
        <w:t>Problem Statement and Objectives</w:t>
      </w:r>
    </w:p>
    <w:p w14:paraId="2D4C17BC" w14:textId="77777777" w:rsidR="00742DB5" w:rsidRPr="00742DB5" w:rsidRDefault="00742DB5" w:rsidP="00B71F27">
      <w:pPr>
        <w:rPr>
          <w:lang w:val="en-GB"/>
        </w:rPr>
      </w:pPr>
      <w:r w:rsidRPr="00742DB5">
        <w:rPr>
          <w:lang w:val="en-GB"/>
        </w:rPr>
        <w:t>The scientific study of water polo remains a neglected field both domestically and internationally, primarily due to the technical and methodological challenges posed by the aquatic medium. The physical properties of water and the unique nature of movement within this environment significantly hinder the use of measuring devices that are already widely established in terrestrial sports. Nevertheless, in recent decades, there has been increasing interest from researchers in uncovering the performance-determining factors of aquatic sports, including water polo. The main external factors influencing athletic performance include conditional abilities, anthropometric characteristics, body composition, and technical execution skills.</w:t>
      </w:r>
    </w:p>
    <w:p w14:paraId="5B375153" w14:textId="77777777" w:rsidR="00742DB5" w:rsidRPr="00742DB5" w:rsidRDefault="00742DB5" w:rsidP="00B71F27">
      <w:pPr>
        <w:rPr>
          <w:lang w:val="en-GB"/>
        </w:rPr>
      </w:pPr>
      <w:r w:rsidRPr="00742DB5">
        <w:rPr>
          <w:lang w:val="en-GB"/>
        </w:rPr>
        <w:t>The physical requirements of the sport have undergone a significant transformation over the last two decades, largely driven by continuous modifications to the rules aimed at making the game faster and more entertaining. This trend presents new challenges for both players and coaches. Modern water polo increasingly demands high levels of endurance, maximal strength, and strength-endurance, for which professionals must implement integrated water-based and dry-land training programs. Statistically, elite international athletes today possess greater body height, more developed muscle mass, and lower body fat percentages than two decades ago, highlighting the strategic importance of anthropometric features.</w:t>
      </w:r>
    </w:p>
    <w:p w14:paraId="7437C8AC" w14:textId="77777777" w:rsidR="00742DB5" w:rsidRPr="00742DB5" w:rsidRDefault="00742DB5" w:rsidP="00B71F27">
      <w:pPr>
        <w:rPr>
          <w:lang w:val="en-GB"/>
        </w:rPr>
      </w:pPr>
      <w:r w:rsidRPr="00742DB5">
        <w:rPr>
          <w:lang w:val="en-GB"/>
        </w:rPr>
        <w:t>Due to the complex nature of sports performance, it would be essential for scientific research to compare multiple parameters that collectively determine a player's performance in the water. While mental and cognitive factors undoubtedly play a major role, the present study focuses on physical, concretely measurable characteristics. My goal is to determine whether there is an objective correlation—applicable in the training and selection process—between a player's anthropometric parameters and the height of their vertical rise (jump) out of the water.</w:t>
      </w:r>
    </w:p>
    <w:p w14:paraId="1B1A616D" w14:textId="77777777" w:rsidR="00742DB5" w:rsidRPr="00742DB5" w:rsidRDefault="00742DB5" w:rsidP="00B71F27">
      <w:pPr>
        <w:rPr>
          <w:lang w:val="en-GB"/>
        </w:rPr>
      </w:pPr>
      <w:r w:rsidRPr="00742DB5">
        <w:rPr>
          <w:lang w:val="en-GB"/>
        </w:rPr>
        <w:t>As a precursor to this research, we conducted a study comparing the height of the vertical jump in water with the results of dry-land jump tests (CMJ – countermovement jump, SJ – squat jump, MVC – maximal voluntary contraction) (</w:t>
      </w:r>
      <w:proofErr w:type="spellStart"/>
      <w:r w:rsidRPr="00742DB5">
        <w:rPr>
          <w:lang w:val="en-GB"/>
        </w:rPr>
        <w:t>Balázs</w:t>
      </w:r>
      <w:proofErr w:type="spellEnd"/>
      <w:r w:rsidRPr="00742DB5">
        <w:rPr>
          <w:lang w:val="en-GB"/>
        </w:rPr>
        <w:t xml:space="preserve"> et al., 2025). Based on our results, we found a statistically significant correlation between CMJ height and vertical jump in water (p&lt;0.05), indicating that lower-limb strength and explosiveness can provide a relevant performance advantage in an aquatic environment as well. Building on these findings, the current research examines anthropometric parameters and aims to map the relationship between these traits and vertical jumping performance in the water.</w:t>
      </w:r>
    </w:p>
    <w:p w14:paraId="5E185EA6" w14:textId="77777777" w:rsidR="00742DB5" w:rsidRPr="00742DB5" w:rsidRDefault="00742DB5" w:rsidP="00B71F27">
      <w:pPr>
        <w:rPr>
          <w:lang w:val="en-GB"/>
        </w:rPr>
      </w:pPr>
      <w:r w:rsidRPr="00742DB5">
        <w:rPr>
          <w:lang w:val="en-GB"/>
        </w:rPr>
        <w:lastRenderedPageBreak/>
        <w:t>We hypothesize that players with wider feet, longer lower limbs, and a larger "arm-stroke surface" (arm span/reach) are capable of rising higher out of the water, especially when the jump is performed with arm assistance. Accordingly, our study differentiates between vertical rises executed with and without the use of arms. The practical significance of our results lies in providing assistance to coaches in optimizing players for specific positions and in more targeted planning of dry-land preparation—with special regard to those muscle groups and anthropometric traits whose development may lead to improved jumping performance. Ultimately, our goal is to develop a practice-oriented scientific toolkit that can directly support professional decision-making in both youth and competitive water polo.</w:t>
      </w:r>
    </w:p>
    <w:p w14:paraId="56F138B8" w14:textId="77777777" w:rsidR="00742DB5" w:rsidRPr="00742DB5" w:rsidRDefault="00742DB5" w:rsidP="00B71F27">
      <w:pPr>
        <w:rPr>
          <w:lang w:val="en-GB"/>
        </w:rPr>
      </w:pPr>
      <w:r w:rsidRPr="00742DB5">
        <w:rPr>
          <w:lang w:val="en-GB"/>
        </w:rPr>
        <w:t>Hypotheses</w:t>
      </w:r>
    </w:p>
    <w:p w14:paraId="7F19CF05" w14:textId="77777777" w:rsidR="00742DB5" w:rsidRPr="00742DB5" w:rsidRDefault="00742DB5" w:rsidP="00B71F27">
      <w:pPr>
        <w:rPr>
          <w:lang w:val="en-GB"/>
        </w:rPr>
      </w:pPr>
      <w:r w:rsidRPr="00742DB5">
        <w:rPr>
          <w:lang w:val="en-GB"/>
        </w:rPr>
        <w:t>First Hypothesis: We assume that at least one anthropometric parameter shows a statistically significant correlation with the height of the vertical jump from the water. This relationship may be utilized during the post-specific (position-specific) training of players.</w:t>
      </w:r>
    </w:p>
    <w:p w14:paraId="1C27ED67" w14:textId="77777777" w:rsidR="00742DB5" w:rsidRPr="00742DB5" w:rsidRDefault="00742DB5" w:rsidP="00B71F27">
      <w:pPr>
        <w:rPr>
          <w:lang w:val="en-GB"/>
        </w:rPr>
      </w:pPr>
      <w:r w:rsidRPr="00742DB5">
        <w:rPr>
          <w:lang w:val="en-GB"/>
        </w:rPr>
        <w:t>Second Hypothesis: We assume that a vertical jump performed with the use of arms results, on average, in a jumping height at least 20% higher than a jump performed without the use of arms.</w:t>
      </w:r>
    </w:p>
    <w:p w14:paraId="42CB4230" w14:textId="77777777" w:rsidR="00742DB5" w:rsidRPr="00742DB5" w:rsidRDefault="00742DB5" w:rsidP="00B71F27">
      <w:pPr>
        <w:rPr>
          <w:lang w:val="en-GB"/>
        </w:rPr>
      </w:pPr>
      <w:r w:rsidRPr="00742DB5">
        <w:rPr>
          <w:lang w:val="en-GB"/>
        </w:rPr>
        <w:t>Third Hypothesis: We assume that the anthropometric parameters of the subjects' upper limbs show a significant correlation with the vertical jumping height from the water in cases where the subjects perform the jump using their arms.</w:t>
      </w:r>
    </w:p>
    <w:p w14:paraId="3A575A1B" w14:textId="78F98D24" w:rsidR="00742DB5" w:rsidRPr="00742DB5" w:rsidRDefault="00742DB5" w:rsidP="00B71F27">
      <w:pPr>
        <w:rPr>
          <w:lang w:val="en-GB"/>
        </w:rPr>
      </w:pPr>
    </w:p>
    <w:p w14:paraId="442883A4" w14:textId="77777777" w:rsidR="00742DB5" w:rsidRPr="00742DB5" w:rsidRDefault="00742DB5" w:rsidP="00B71F27">
      <w:pPr>
        <w:rPr>
          <w:lang w:val="en-GB"/>
        </w:rPr>
      </w:pPr>
      <w:r w:rsidRPr="00742DB5">
        <w:rPr>
          <w:lang w:val="en-GB"/>
        </w:rPr>
        <w:t>Literature Review</w:t>
      </w:r>
    </w:p>
    <w:p w14:paraId="614F0F81" w14:textId="77777777" w:rsidR="00742DB5" w:rsidRPr="00742DB5" w:rsidRDefault="00742DB5" w:rsidP="00B71F27">
      <w:pPr>
        <w:rPr>
          <w:lang w:val="en-GB"/>
        </w:rPr>
      </w:pPr>
      <w:r w:rsidRPr="00742DB5">
        <w:rPr>
          <w:lang w:val="en-GB"/>
        </w:rPr>
        <w:t>The History of Water Polo</w:t>
      </w:r>
    </w:p>
    <w:p w14:paraId="3112BB67" w14:textId="77777777" w:rsidR="00742DB5" w:rsidRPr="00742DB5" w:rsidRDefault="00742DB5" w:rsidP="00B71F27">
      <w:pPr>
        <w:rPr>
          <w:lang w:val="en-GB"/>
        </w:rPr>
      </w:pPr>
      <w:r w:rsidRPr="00742DB5">
        <w:rPr>
          <w:lang w:val="en-GB"/>
        </w:rPr>
        <w:t>The history of water polo began in 19th-century Great Britain, where baths and rivers were popular leisure spots, and swimming clubs began organizing various aquatic games. One such game was "water rugby," in which players attempted to secure an inflatable ball and carry it underwater to the opponent's goal. This primitive form was extremely physical and lacked precisely defined rules, often relying on brute force. A key figure in the sport's evolution was the Scotsman William Wilson, who developed the first set of water polo rules in 1877, defining the course of the game and making it safer. According to the new rules, players had to keep the ball on the surface, and fixed goals were placed at both ends of the pool. The first official matches took place in the 1880s, and the first national championship was held in England in 1888.</w:t>
      </w:r>
    </w:p>
    <w:p w14:paraId="36AC3BB4" w14:textId="77777777" w:rsidR="00742DB5" w:rsidRPr="00742DB5" w:rsidRDefault="00742DB5" w:rsidP="00B71F27">
      <w:pPr>
        <w:rPr>
          <w:lang w:val="en-GB"/>
        </w:rPr>
      </w:pPr>
      <w:r w:rsidRPr="00742DB5">
        <w:rPr>
          <w:lang w:val="en-GB"/>
        </w:rPr>
        <w:t xml:space="preserve">Women's water polo also grew in popularity towards the end of the 20th century and was first included in the Olympic program in Sydney in 2000. Since then, women's water polo has developed dynamically, with Hungarian, American, Dutch, and Australian </w:t>
      </w:r>
      <w:r w:rsidRPr="00742DB5">
        <w:rPr>
          <w:lang w:val="en-GB"/>
        </w:rPr>
        <w:lastRenderedPageBreak/>
        <w:t>teams consistently ranking among the world's elite. Today, water polo has become a highly tactical and physically demanding sport based on a combination of speed, strength, decision-making, and precise ball handling. Modern technology, such as video analysis and data-driven training methods, further enhances the sport's advancement.</w:t>
      </w:r>
    </w:p>
    <w:p w14:paraId="087B47B4" w14:textId="77777777" w:rsidR="00742DB5" w:rsidRPr="00742DB5" w:rsidRDefault="00742DB5" w:rsidP="00B71F27">
      <w:pPr>
        <w:rPr>
          <w:lang w:val="en-GB"/>
        </w:rPr>
      </w:pPr>
      <w:r w:rsidRPr="00742DB5">
        <w:rPr>
          <w:lang w:val="en-GB"/>
        </w:rPr>
        <w:t>The history of water polo thus reflects over 150 years of continuous evolution. The sport has preserved its traditions and values while becoming faster and more technical. In the future, further innovations are expected to promote the sport's popularity and growth worldwide.</w:t>
      </w:r>
    </w:p>
    <w:p w14:paraId="7C7A79A9" w14:textId="77777777" w:rsidR="00742DB5" w:rsidRPr="00742DB5" w:rsidRDefault="00742DB5" w:rsidP="00B71F27">
      <w:pPr>
        <w:rPr>
          <w:lang w:val="en-GB"/>
        </w:rPr>
      </w:pPr>
      <w:r w:rsidRPr="00742DB5">
        <w:rPr>
          <w:lang w:val="en-GB"/>
        </w:rPr>
        <w:t xml:space="preserve">The history of water polo features numerous legendary players who played a decisive role in its development. Internationally, one of the most well-known players is Manuel </w:t>
      </w:r>
      <w:proofErr w:type="spellStart"/>
      <w:r w:rsidRPr="00742DB5">
        <w:rPr>
          <w:lang w:val="en-GB"/>
        </w:rPr>
        <w:t>Estiarte</w:t>
      </w:r>
      <w:proofErr w:type="spellEnd"/>
      <w:r w:rsidRPr="00742DB5">
        <w:rPr>
          <w:lang w:val="en-GB"/>
        </w:rPr>
        <w:t xml:space="preserve"> of Spain, the only water polo player to compete in six Olympic tournaments between 1980 and 2000. During his career, he scored over 1,500 goals and won a gold medal at the 1996 Atlanta Olympics. Serbia's </w:t>
      </w:r>
      <w:proofErr w:type="spellStart"/>
      <w:r w:rsidRPr="00742DB5">
        <w:rPr>
          <w:lang w:val="en-GB"/>
        </w:rPr>
        <w:t>Dejan</w:t>
      </w:r>
      <w:proofErr w:type="spellEnd"/>
      <w:r w:rsidRPr="00742DB5">
        <w:rPr>
          <w:lang w:val="en-GB"/>
        </w:rPr>
        <w:t xml:space="preserve"> </w:t>
      </w:r>
      <w:proofErr w:type="spellStart"/>
      <w:r w:rsidRPr="00742DB5">
        <w:rPr>
          <w:lang w:val="en-GB"/>
        </w:rPr>
        <w:t>Savić</w:t>
      </w:r>
      <w:proofErr w:type="spellEnd"/>
      <w:r w:rsidRPr="00742DB5">
        <w:rPr>
          <w:lang w:val="en-GB"/>
        </w:rPr>
        <w:t xml:space="preserve"> is also an icon, achieving world-class success as both a player and a coach. He won a bronze medal in 2000 representing Yugoslavia and later led Serbia to multiple World and Olympic titles as a coach, including the 2016 and 2020 Olympics. Ratko </w:t>
      </w:r>
      <w:proofErr w:type="spellStart"/>
      <w:r w:rsidRPr="00742DB5">
        <w:rPr>
          <w:lang w:val="en-GB"/>
        </w:rPr>
        <w:t>Rudić</w:t>
      </w:r>
      <w:proofErr w:type="spellEnd"/>
      <w:r w:rsidRPr="00742DB5">
        <w:rPr>
          <w:lang w:val="en-GB"/>
        </w:rPr>
        <w:t xml:space="preserve"> also stands out as one of the most successful coaches in history, leading Yugoslavia, Italy, Croatia, and the United States to World and Olympic success. He also achieved great heights as a player, becoming an Olympic champion with Yugoslavia in 1968.</w:t>
      </w:r>
    </w:p>
    <w:p w14:paraId="17B77DB5" w14:textId="7CC6FD8A" w:rsidR="00742DB5" w:rsidRPr="00742DB5" w:rsidRDefault="00742DB5" w:rsidP="00B71F27">
      <w:pPr>
        <w:rPr>
          <w:lang w:val="en-GB"/>
        </w:rPr>
      </w:pPr>
      <w:r w:rsidRPr="00742DB5">
        <w:rPr>
          <w:lang w:val="en-GB"/>
        </w:rPr>
        <w:t>In women's water polo, Maggie Steffens of the United States is one of the greatest names, being a multi-time Olympic champion and winning numerous world titles with the U.S. team. She is considered one of the best female players in the world due to her exceptional goal-scoring ability and leadership skills. Melissa Seidemann is another legendary Australian player, a multi-time Olympic champion who was a dominant figure for many years. Italy's Tania Di Mario was also an outstanding player and one of the most successful members of the Italian national team, winning both Olympic and World Championship gold.</w:t>
      </w:r>
    </w:p>
    <w:p w14:paraId="755E478B" w14:textId="77777777" w:rsidR="00742DB5" w:rsidRPr="00742DB5" w:rsidRDefault="00742DB5" w:rsidP="00B71F27">
      <w:pPr>
        <w:rPr>
          <w:lang w:val="en-GB"/>
        </w:rPr>
      </w:pPr>
      <w:r w:rsidRPr="00742DB5">
        <w:rPr>
          <w:lang w:val="en-GB"/>
        </w:rPr>
        <w:t>The Rules of Water Polo</w:t>
      </w:r>
    </w:p>
    <w:p w14:paraId="3CEB8D14" w14:textId="77777777" w:rsidR="00742DB5" w:rsidRPr="00742DB5" w:rsidRDefault="00742DB5" w:rsidP="00B71F27">
      <w:pPr>
        <w:rPr>
          <w:lang w:val="en-GB"/>
        </w:rPr>
      </w:pPr>
      <w:r w:rsidRPr="00742DB5">
        <w:rPr>
          <w:lang w:val="en-GB"/>
        </w:rPr>
        <w:t>Water polo is a team sport played in water, belonging to the family of ball games, where two teams aim to score as many goals as possible against their opponent. Matches are held in pools measuring 25 meters for women and 25–33 meters for men, with a minimum depth of 1.8 meters. The game can only be played by individuals proficient in swimming, as touching the bottom of the pool is not permitted.</w:t>
      </w:r>
    </w:p>
    <w:p w14:paraId="339017F3" w14:textId="77777777" w:rsidR="00742DB5" w:rsidRPr="00742DB5" w:rsidRDefault="00742DB5" w:rsidP="00B71F27">
      <w:pPr>
        <w:rPr>
          <w:lang w:val="en-GB"/>
        </w:rPr>
      </w:pPr>
      <w:r w:rsidRPr="00742DB5">
        <w:rPr>
          <w:lang w:val="en-GB"/>
        </w:rPr>
        <w:t>Two teams participate in a match with seven players per side: six field players and one goalkeeper. Teams may also use substitutes who can enter at any time—a rule known as "continuous substitution." A match consists of four quarters, each lasting eight minutes of "clean time," meaning the clock is stopped at every interruption in play.</w:t>
      </w:r>
    </w:p>
    <w:p w14:paraId="39F39D65" w14:textId="77777777" w:rsidR="00742DB5" w:rsidRPr="00742DB5" w:rsidRDefault="00742DB5" w:rsidP="00B71F27">
      <w:pPr>
        <w:rPr>
          <w:lang w:val="en-GB"/>
        </w:rPr>
      </w:pPr>
      <w:r w:rsidRPr="00742DB5">
        <w:rPr>
          <w:lang w:val="en-GB"/>
        </w:rPr>
        <w:lastRenderedPageBreak/>
        <w:t>The objective is to put the ball into the opponent's goal. The ball is played by hand and may only be touched with one hand, except for the goalkeeper, who may use both hands within their own 5-meter zone. Advancement with the ball occurs through swimming, passing, or "dribbling" (pushing the ball in front while swimming), which is particularly common during fast attacks.</w:t>
      </w:r>
    </w:p>
    <w:p w14:paraId="51E9F68B" w14:textId="77777777" w:rsidR="00742DB5" w:rsidRPr="00742DB5" w:rsidRDefault="00742DB5" w:rsidP="00B71F27">
      <w:pPr>
        <w:rPr>
          <w:lang w:val="en-GB"/>
        </w:rPr>
      </w:pPr>
      <w:r w:rsidRPr="00742DB5">
        <w:rPr>
          <w:lang w:val="en-GB"/>
        </w:rPr>
        <w:t>Physical contact is strictly regulated. Although it is a contact sport, intentional fighting, punching, or any gross foul results in immediate exclusion. Minor fouls are penalized with a free throw, to be taken in the opposite direction of the foul. For more serious fouls, a temporary exclusion of 20 (recently 15) seconds follows, during which the opposing team gains a numerical advantage (man-up).</w:t>
      </w:r>
    </w:p>
    <w:p w14:paraId="17A41DF2" w14:textId="77777777" w:rsidR="00742DB5" w:rsidRPr="00742DB5" w:rsidRDefault="00742DB5" w:rsidP="00B71F27">
      <w:pPr>
        <w:rPr>
          <w:lang w:val="en-GB"/>
        </w:rPr>
      </w:pPr>
      <w:r w:rsidRPr="00742DB5">
        <w:rPr>
          <w:lang w:val="en-GB"/>
        </w:rPr>
        <w:t>Free throws cannot be shot directly at the goal unless they are taken from beyond the 6-meter line—this rule has become an important tactical element over the years. A penalty throw, or "5-meter," is similar to a penalty kick in football: a direct shot at the goal awarded when an attacking player is fouled in a clear scoring position.</w:t>
      </w:r>
    </w:p>
    <w:p w14:paraId="0E1D9287" w14:textId="77777777" w:rsidR="00742DB5" w:rsidRPr="00742DB5" w:rsidRDefault="00742DB5" w:rsidP="00B71F27">
      <w:pPr>
        <w:rPr>
          <w:lang w:val="en-GB"/>
        </w:rPr>
      </w:pPr>
      <w:r w:rsidRPr="00742DB5">
        <w:rPr>
          <w:lang w:val="en-GB"/>
        </w:rPr>
        <w:t xml:space="preserve">Water polo is a highly tactical sport where timing, positioning, and the proper exploitation of power-play (extra player) or man-down situations are key to success. Coaches often use pre-rehearsed plays, similar to other ball games. In 6-on-6 </w:t>
      </w:r>
      <w:proofErr w:type="spellStart"/>
      <w:r w:rsidRPr="00742DB5">
        <w:rPr>
          <w:lang w:val="en-GB"/>
        </w:rPr>
        <w:t>defense</w:t>
      </w:r>
      <w:proofErr w:type="spellEnd"/>
      <w:r w:rsidRPr="00742DB5">
        <w:rPr>
          <w:lang w:val="en-GB"/>
        </w:rPr>
        <w:t xml:space="preserve">, teams usually employ "zone" or "press" (man-to-man) </w:t>
      </w:r>
      <w:proofErr w:type="spellStart"/>
      <w:r w:rsidRPr="00742DB5">
        <w:rPr>
          <w:lang w:val="en-GB"/>
        </w:rPr>
        <w:t>defense</w:t>
      </w:r>
      <w:proofErr w:type="spellEnd"/>
      <w:r w:rsidRPr="00742DB5">
        <w:rPr>
          <w:lang w:val="en-GB"/>
        </w:rPr>
        <w:t>, while in man-up attacks, "4-2" or "3-3" formations are most common.</w:t>
      </w:r>
    </w:p>
    <w:p w14:paraId="1F8AEEB5" w14:textId="77777777" w:rsidR="00742DB5" w:rsidRPr="00742DB5" w:rsidRDefault="00742DB5" w:rsidP="00B71F27">
      <w:pPr>
        <w:rPr>
          <w:lang w:val="en-GB"/>
        </w:rPr>
      </w:pPr>
      <w:r w:rsidRPr="00742DB5">
        <w:rPr>
          <w:lang w:val="en-GB"/>
        </w:rPr>
        <w:t>The game is overseen by four officials: two referees on either side of the pool, along with a delegate and a timekeeper who manage the shot clock and quarter times. Referees' decisions are effective immediately and often require quick, decisive reactions from the players.</w:t>
      </w:r>
    </w:p>
    <w:p w14:paraId="04AA4EE6" w14:textId="656F49AC" w:rsidR="00742DB5" w:rsidRPr="00742DB5" w:rsidRDefault="00742DB5" w:rsidP="00B71F27">
      <w:pPr>
        <w:rPr>
          <w:lang w:val="en-GB"/>
        </w:rPr>
      </w:pPr>
    </w:p>
    <w:p w14:paraId="14A17126" w14:textId="77777777" w:rsidR="00742DB5" w:rsidRPr="00742DB5" w:rsidRDefault="00742DB5" w:rsidP="00B71F27">
      <w:pPr>
        <w:rPr>
          <w:lang w:val="en-GB"/>
        </w:rPr>
      </w:pPr>
      <w:r w:rsidRPr="00742DB5">
        <w:rPr>
          <w:lang w:val="en-GB"/>
        </w:rPr>
        <w:t>Rule Changes in Water Polo</w:t>
      </w:r>
    </w:p>
    <w:p w14:paraId="107E7D00" w14:textId="77777777" w:rsidR="00742DB5" w:rsidRPr="00742DB5" w:rsidRDefault="00742DB5" w:rsidP="00B71F27">
      <w:pPr>
        <w:rPr>
          <w:lang w:val="en-GB"/>
        </w:rPr>
      </w:pPr>
      <w:r w:rsidRPr="00742DB5">
        <w:rPr>
          <w:lang w:val="en-GB"/>
        </w:rPr>
        <w:t>Over the past decade, several significant modifications have been made to the rules of water polo, primarily justified by the need to increase the dynamism of the game, accelerate the tempo of attacks, and enhance the visual appeal of matches. The goal of the rule-makers was to make the sport more enjoyable for spectators and more exciting for players while maintaining its traditional elements.</w:t>
      </w:r>
    </w:p>
    <w:p w14:paraId="5F8E1355" w14:textId="77777777" w:rsidR="00742DB5" w:rsidRPr="00742DB5" w:rsidRDefault="00742DB5" w:rsidP="00B71F27">
      <w:pPr>
        <w:rPr>
          <w:lang w:val="en-GB"/>
        </w:rPr>
      </w:pPr>
      <w:r w:rsidRPr="00742DB5">
        <w:rPr>
          <w:lang w:val="en-GB"/>
        </w:rPr>
        <w:t>The Relationship Between Anthropometric Parameters and Performance in Team Sports</w:t>
      </w:r>
    </w:p>
    <w:p w14:paraId="688895C5" w14:textId="77777777" w:rsidR="00742DB5" w:rsidRPr="00742DB5" w:rsidRDefault="00742DB5" w:rsidP="00B71F27">
      <w:pPr>
        <w:rPr>
          <w:lang w:val="en-GB"/>
        </w:rPr>
      </w:pPr>
      <w:r w:rsidRPr="00742DB5">
        <w:rPr>
          <w:lang w:val="en-GB"/>
        </w:rPr>
        <w:t>Recent research in the field of team sports clearly supports the idea that anthropometric parameters are not only suitable for describing an athlete’s physique but also have a direct impact on sports performance. In their study, Herrera-</w:t>
      </w:r>
      <w:proofErr w:type="spellStart"/>
      <w:r w:rsidRPr="00742DB5">
        <w:rPr>
          <w:lang w:val="en-GB"/>
        </w:rPr>
        <w:t>Amante</w:t>
      </w:r>
      <w:proofErr w:type="spellEnd"/>
      <w:r w:rsidRPr="00742DB5">
        <w:rPr>
          <w:lang w:val="en-GB"/>
        </w:rPr>
        <w:t xml:space="preserve"> et al. (2025) found a close relationship between lower-limb anthropometric ratios and vertical jump height in young soccer players. Meanwhile, </w:t>
      </w:r>
      <w:proofErr w:type="spellStart"/>
      <w:r w:rsidRPr="00742DB5">
        <w:rPr>
          <w:lang w:val="en-GB"/>
        </w:rPr>
        <w:t>Ilić</w:t>
      </w:r>
      <w:proofErr w:type="spellEnd"/>
      <w:r w:rsidRPr="00742DB5">
        <w:rPr>
          <w:lang w:val="en-GB"/>
        </w:rPr>
        <w:t xml:space="preserve"> et al. (2025) compared the block height of female volleyball players with various morphological characteristics, </w:t>
      </w:r>
      <w:r w:rsidRPr="00742DB5">
        <w:rPr>
          <w:lang w:val="en-GB"/>
        </w:rPr>
        <w:lastRenderedPageBreak/>
        <w:t xml:space="preserve">demonstrating that thigh length and body height are outstanding predictors of jumping performance. </w:t>
      </w:r>
      <w:proofErr w:type="spellStart"/>
      <w:r w:rsidRPr="00742DB5">
        <w:rPr>
          <w:lang w:val="en-GB"/>
        </w:rPr>
        <w:t>Ferraz</w:t>
      </w:r>
      <w:proofErr w:type="spellEnd"/>
      <w:r w:rsidRPr="00742DB5">
        <w:rPr>
          <w:lang w:val="en-GB"/>
        </w:rPr>
        <w:t xml:space="preserve"> (2025) investigated the relationship between anthropometric profiles and training load in elite ice hockey players, concluding that optimizing body composition and upper-limb circumferences contributes more effectively to increasing anaerobic performance. </w:t>
      </w:r>
      <w:proofErr w:type="spellStart"/>
      <w:r w:rsidRPr="00742DB5">
        <w:rPr>
          <w:lang w:val="en-GB"/>
        </w:rPr>
        <w:t>Kalantariyan</w:t>
      </w:r>
      <w:proofErr w:type="spellEnd"/>
      <w:r w:rsidRPr="00742DB5">
        <w:rPr>
          <w:lang w:val="en-GB"/>
        </w:rPr>
        <w:t xml:space="preserve"> et al. (2025) showed in young futsal players that sport-metric training programs improve functional abilities and body composition ratios, particularly in the trunk-to-lower-limb ratio.</w:t>
      </w:r>
    </w:p>
    <w:p w14:paraId="5AE68400" w14:textId="77777777" w:rsidR="00742DB5" w:rsidRPr="00742DB5" w:rsidRDefault="00742DB5" w:rsidP="00B71F27">
      <w:pPr>
        <w:rPr>
          <w:lang w:val="en-GB"/>
        </w:rPr>
      </w:pPr>
      <w:r w:rsidRPr="00742DB5">
        <w:rPr>
          <w:lang w:val="en-GB"/>
        </w:rPr>
        <w:t>Position-Specific Movement Patterns and Physical Characteristics of Water Polo Players</w:t>
      </w:r>
    </w:p>
    <w:p w14:paraId="5862E13F" w14:textId="77777777" w:rsidR="00742DB5" w:rsidRPr="00742DB5" w:rsidRDefault="00742DB5" w:rsidP="00B71F27">
      <w:pPr>
        <w:rPr>
          <w:lang w:val="en-GB"/>
        </w:rPr>
      </w:pPr>
      <w:r w:rsidRPr="00742DB5">
        <w:rPr>
          <w:lang w:val="en-GB"/>
        </w:rPr>
        <w:t>In scientific articles dealing with water polo, we frequently encounter anthropometric analyses, anthropometric profiles, evaluations by position, and cross-country comparisons. Morphological characteristics play a vital role in determining an athlete's success, a finding confirmed by research results showing statistically significant differences between morphological traits across positions. The greatest body height and BMI were recorded among defenders (</w:t>
      </w:r>
      <w:proofErr w:type="spellStart"/>
      <w:r w:rsidRPr="00742DB5">
        <w:rPr>
          <w:lang w:val="en-GB"/>
        </w:rPr>
        <w:t>center</w:t>
      </w:r>
      <w:proofErr w:type="spellEnd"/>
      <w:r w:rsidRPr="00742DB5">
        <w:rPr>
          <w:lang w:val="en-GB"/>
        </w:rPr>
        <w:t xml:space="preserve"> backs), while attackers (drivers/wingers) exhibited the highest body weight (</w:t>
      </w:r>
      <w:proofErr w:type="spellStart"/>
      <w:r w:rsidRPr="00742DB5">
        <w:rPr>
          <w:lang w:val="en-GB"/>
        </w:rPr>
        <w:t>Niksic</w:t>
      </w:r>
      <w:proofErr w:type="spellEnd"/>
      <w:r w:rsidRPr="00742DB5">
        <w:rPr>
          <w:lang w:val="en-GB"/>
        </w:rPr>
        <w:t>, 2020).</w:t>
      </w:r>
    </w:p>
    <w:p w14:paraId="64680148" w14:textId="77777777" w:rsidR="00742DB5" w:rsidRPr="00742DB5" w:rsidRDefault="00742DB5" w:rsidP="00B71F27">
      <w:pPr>
        <w:rPr>
          <w:lang w:val="en-GB"/>
        </w:rPr>
      </w:pPr>
      <w:r w:rsidRPr="00742DB5">
        <w:rPr>
          <w:lang w:val="en-GB"/>
        </w:rPr>
        <w:t>Anthropometric Factors Influencing Water Polo Performance</w:t>
      </w:r>
    </w:p>
    <w:p w14:paraId="0506075E" w14:textId="77777777" w:rsidR="00742DB5" w:rsidRPr="00742DB5" w:rsidRDefault="00742DB5" w:rsidP="00B71F27">
      <w:pPr>
        <w:rPr>
          <w:lang w:val="en-GB"/>
        </w:rPr>
      </w:pPr>
      <w:proofErr w:type="spellStart"/>
      <w:r w:rsidRPr="00742DB5">
        <w:rPr>
          <w:lang w:val="en-GB"/>
        </w:rPr>
        <w:t>Analyzing</w:t>
      </w:r>
      <w:proofErr w:type="spellEnd"/>
      <w:r w:rsidRPr="00742DB5">
        <w:rPr>
          <w:lang w:val="en-GB"/>
        </w:rPr>
        <w:t xml:space="preserve"> the anthropometric composition of athletes is nowadays an essential tool in developing high-quality training programs and nutritional strategies for elite sports. Particularly in water polo—as a dynamic, contact-oriented, and endurance sport—body parameters play a prominent role. Indicators such as body mass, body fat percentage, muscle mass, height, shoulder width, and arm length are directly correlated with numerous components of athletic performance, including throwing velocity, vertical rise from the water, swimming speed, and position-specific efficiency.</w:t>
      </w:r>
    </w:p>
    <w:p w14:paraId="53555D51" w14:textId="77777777" w:rsidR="00742DB5" w:rsidRPr="00742DB5" w:rsidRDefault="00742DB5" w:rsidP="00B71F27">
      <w:pPr>
        <w:rPr>
          <w:lang w:val="en-GB"/>
        </w:rPr>
      </w:pPr>
      <w:r w:rsidRPr="00742DB5">
        <w:rPr>
          <w:lang w:val="en-GB"/>
        </w:rPr>
        <w:t>Repeated measures ANOVA showed significant differences between tests regarding body mass ($F</w:t>
      </w:r>
      <w:proofErr w:type="gramStart"/>
      <w:r w:rsidRPr="00742DB5">
        <w:rPr>
          <w:lang w:val="en-GB"/>
        </w:rPr>
        <w:t>_{</w:t>
      </w:r>
      <w:proofErr w:type="gramEnd"/>
      <w:r w:rsidRPr="00742DB5">
        <w:rPr>
          <w:lang w:val="en-GB"/>
        </w:rPr>
        <w:t>3,15} = 4.025, P = 0.028$), body fat ($F_{3,15} = 9.194, P = 0.001$), MSST (Multi-Stage Shuttle Test) ($F_{3,15} = 5.050, P = 0.017$), and the goal-post touch test ($F_{2,10} = 16.034, P = 0.001$). No statistically significant differences were found for other variables. The results of the study suggest that changes in the anthropometric characteristics and performance parameters of elite female water polo players during a periodized training year occur without corresponding changes in laboratory-based physiological measurements (</w:t>
      </w:r>
      <w:proofErr w:type="spellStart"/>
      <w:r w:rsidRPr="00742DB5">
        <w:rPr>
          <w:lang w:val="en-GB"/>
        </w:rPr>
        <w:t>Marrin</w:t>
      </w:r>
      <w:proofErr w:type="spellEnd"/>
      <w:r w:rsidRPr="00742DB5">
        <w:rPr>
          <w:lang w:val="en-GB"/>
        </w:rPr>
        <w:t xml:space="preserve"> et al., 2010).</w:t>
      </w:r>
    </w:p>
    <w:p w14:paraId="23247F4E" w14:textId="71264D45" w:rsidR="00742DB5" w:rsidRPr="00742DB5" w:rsidRDefault="00742DB5" w:rsidP="00B71F27">
      <w:pPr>
        <w:rPr>
          <w:lang w:val="en-GB"/>
        </w:rPr>
      </w:pPr>
    </w:p>
    <w:p w14:paraId="4A34A036" w14:textId="77777777" w:rsidR="00742DB5" w:rsidRPr="00742DB5" w:rsidRDefault="00742DB5" w:rsidP="00B71F27">
      <w:pPr>
        <w:rPr>
          <w:lang w:val="en-GB"/>
        </w:rPr>
      </w:pPr>
      <w:r w:rsidRPr="00742DB5">
        <w:rPr>
          <w:lang w:val="en-GB"/>
        </w:rPr>
        <w:t>The "Eggbeater Kick" and the Height of Vertical Rise from the Water</w:t>
      </w:r>
    </w:p>
    <w:p w14:paraId="5FF31F64" w14:textId="77777777" w:rsidR="00742DB5" w:rsidRPr="00742DB5" w:rsidRDefault="00742DB5" w:rsidP="00B71F27">
      <w:pPr>
        <w:rPr>
          <w:lang w:val="en-GB"/>
        </w:rPr>
      </w:pPr>
      <w:r w:rsidRPr="00742DB5">
        <w:rPr>
          <w:lang w:val="en-GB"/>
        </w:rPr>
        <w:t xml:space="preserve">An essential technical element used in water polo and artistic swimming is the so-called "treading leg action," referred to in international literature as the "eggbeater kick." Players utilize the eggbeater kick to execute both vertical and horizontal movements. As a vertical movement, it generates a downward propulsive force in the water, enabling </w:t>
      </w:r>
      <w:r w:rsidRPr="00742DB5">
        <w:rPr>
          <w:lang w:val="en-GB"/>
        </w:rPr>
        <w:lastRenderedPageBreak/>
        <w:t xml:space="preserve">players to rise out of the water to reach a high-flying ball or to block a shot. </w:t>
      </w:r>
      <w:proofErr w:type="spellStart"/>
      <w:r w:rsidRPr="00742DB5">
        <w:rPr>
          <w:lang w:val="en-GB"/>
        </w:rPr>
        <w:t>Horizontallly</w:t>
      </w:r>
      <w:proofErr w:type="spellEnd"/>
      <w:r w:rsidRPr="00742DB5">
        <w:rPr>
          <w:lang w:val="en-GB"/>
        </w:rPr>
        <w:t>, the eggbeater kick is typically applied during body-to-body combat, when pushing or shoving an opponent is required during a match.</w:t>
      </w:r>
    </w:p>
    <w:p w14:paraId="0D082F20" w14:textId="77777777" w:rsidR="00742DB5" w:rsidRPr="00742DB5" w:rsidRDefault="00742DB5" w:rsidP="00B71F27">
      <w:pPr>
        <w:rPr>
          <w:lang w:val="en-GB"/>
        </w:rPr>
      </w:pPr>
      <w:r w:rsidRPr="00742DB5">
        <w:rPr>
          <w:lang w:val="en-GB"/>
        </w:rPr>
        <w:t xml:space="preserve">Regarding playing positions, the eggbeater kick plays the most significant role for the goalkeeper. Approximately 90% of a goalkeeper's specialized movements are performed using the eggbeater kick (positioning, jumping, moving along the semi-circle), while the remaining 10% consists of vertical breaststroke kicking. Defensive legwork has received particular attention in recent years, as teams that could successfully defend more "man-down" (shorthanded) situations were the ones able to excel and, in many cases, reach the finals in world championships. The essential element of man-down </w:t>
      </w:r>
      <w:proofErr w:type="spellStart"/>
      <w:r w:rsidRPr="00742DB5">
        <w:rPr>
          <w:lang w:val="en-GB"/>
        </w:rPr>
        <w:t>defense</w:t>
      </w:r>
      <w:proofErr w:type="spellEnd"/>
      <w:r w:rsidRPr="00742DB5">
        <w:rPr>
          <w:lang w:val="en-GB"/>
        </w:rPr>
        <w:t xml:space="preserve"> is the kick and its overall dynamics.</w:t>
      </w:r>
    </w:p>
    <w:p w14:paraId="60450E6E" w14:textId="3BED9763" w:rsidR="005A472C" w:rsidRPr="00B71F27" w:rsidRDefault="00742DB5" w:rsidP="00B71F27">
      <w:r w:rsidRPr="00B71F27">
        <w:drawing>
          <wp:inline distT="0" distB="0" distL="0" distR="0" wp14:anchorId="24D594C5" wp14:editId="30B9214F">
            <wp:extent cx="4064000" cy="2552700"/>
            <wp:effectExtent l="0" t="0" r="0" b="0"/>
            <wp:docPr id="690855950" name="Kép 112" descr="A képen vázlat, rajz, Vonalas grafika, háromlábú állvány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55950" name="Kép 112" descr="A képen vázlat, rajz, Vonalas grafika, háromlábú állvány látható&#10;&#10;Automatikusan generált leírás"/>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64000" cy="2552700"/>
                    </a:xfrm>
                    <a:prstGeom prst="rect">
                      <a:avLst/>
                    </a:prstGeom>
                  </pic:spPr>
                </pic:pic>
              </a:graphicData>
            </a:graphic>
          </wp:inline>
        </w:drawing>
      </w:r>
    </w:p>
    <w:p w14:paraId="306D683D" w14:textId="77777777" w:rsidR="00742DB5" w:rsidRPr="00742DB5" w:rsidRDefault="00742DB5" w:rsidP="00B71F27">
      <w:pPr>
        <w:rPr>
          <w:lang w:val="en-GB"/>
        </w:rPr>
      </w:pPr>
      <w:r w:rsidRPr="00742DB5">
        <w:rPr>
          <w:lang w:val="en-GB"/>
        </w:rPr>
        <w:t>Methodology and Technical Execution</w:t>
      </w:r>
    </w:p>
    <w:p w14:paraId="7044B06B" w14:textId="77777777" w:rsidR="00742DB5" w:rsidRPr="00742DB5" w:rsidRDefault="00742DB5" w:rsidP="00B71F27">
      <w:pPr>
        <w:rPr>
          <w:lang w:val="en-GB"/>
        </w:rPr>
      </w:pPr>
      <w:r w:rsidRPr="00742DB5">
        <w:rPr>
          <w:lang w:val="en-GB"/>
        </w:rPr>
        <w:t>One characteristic of the test is that the jumping sequence is entirely up to the athlete; thus, the elevation phase is executed using individual technical solutions. During the test, Platanou utilized video recording, which allowed for the footage to be paused at the highest point of the jump to determine the maximum height reached. The measurement value was calculated using a specific formula:</w:t>
      </w:r>
    </w:p>
    <w:p w14:paraId="6CCAE283" w14:textId="77777777" w:rsidR="00742DB5" w:rsidRPr="00742DB5" w:rsidRDefault="00742DB5" w:rsidP="00B71F27">
      <w:pPr>
        <w:rPr>
          <w:lang w:val="en-GB"/>
        </w:rPr>
      </w:pPr>
      <w:r w:rsidRPr="00742DB5">
        <w:rPr>
          <w:lang w:val="en-GB"/>
        </w:rPr>
        <w:t>It is important to emphasize that while the test performs exceptionally well in terms of reliability, the movement sequence used does not universally represent all game situations. The "boost" technique is a specific movement form applied more in positional or tactical situations, most commonly appearing in blocking, intercepting the ball, or shot-blocking within water polo. For this reason, the field test developed by Platanou is more of a movement-based situational skill assessment tool than a general indicator of explosiveness.</w:t>
      </w:r>
    </w:p>
    <w:p w14:paraId="3E609EF2" w14:textId="77777777" w:rsidR="00742DB5" w:rsidRPr="00742DB5" w:rsidRDefault="00742DB5" w:rsidP="00B71F27">
      <w:pPr>
        <w:rPr>
          <w:lang w:val="en-GB"/>
        </w:rPr>
      </w:pPr>
      <w:r w:rsidRPr="00742DB5">
        <w:rPr>
          <w:lang w:val="en-GB"/>
        </w:rPr>
        <w:t xml:space="preserve">In summary, </w:t>
      </w:r>
      <w:proofErr w:type="spellStart"/>
      <w:r w:rsidRPr="00742DB5">
        <w:rPr>
          <w:lang w:val="en-GB"/>
        </w:rPr>
        <w:t>Platanou's</w:t>
      </w:r>
      <w:proofErr w:type="spellEnd"/>
      <w:r w:rsidRPr="00742DB5">
        <w:rPr>
          <w:lang w:val="en-GB"/>
        </w:rPr>
        <w:t xml:space="preserve"> (2006) test is a valuable measurement tool from both a scientific and practical perspective. It assists in evaluating athlete performance, identifying </w:t>
      </w:r>
      <w:r w:rsidRPr="00742DB5">
        <w:rPr>
          <w:lang w:val="en-GB"/>
        </w:rPr>
        <w:lastRenderedPageBreak/>
        <w:t>position-specific differences, and monitoring the effectiveness of training plans aimed at developing jumping ability. However, further research is required to explore the extent to which this measurement method can be applied to individual development, long-term training programs, and varying technical executions.</w:t>
      </w:r>
    </w:p>
    <w:tbl>
      <w:tblPr>
        <w:tblW w:w="9095" w:type="dxa"/>
        <w:tblLayout w:type="fixed"/>
        <w:tblCellMar>
          <w:left w:w="0" w:type="dxa"/>
          <w:right w:w="0" w:type="dxa"/>
        </w:tblCellMar>
        <w:tblLook w:val="0000" w:firstRow="0" w:lastRow="0" w:firstColumn="0" w:lastColumn="0" w:noHBand="0" w:noVBand="0"/>
      </w:tblPr>
      <w:tblGrid>
        <w:gridCol w:w="1945"/>
        <w:gridCol w:w="1191"/>
        <w:gridCol w:w="1191"/>
        <w:gridCol w:w="1192"/>
        <w:gridCol w:w="1192"/>
        <w:gridCol w:w="1192"/>
        <w:gridCol w:w="1192"/>
      </w:tblGrid>
      <w:tr w:rsidR="00742DB5" w:rsidRPr="00B71F27" w14:paraId="16CEE67B" w14:textId="77777777" w:rsidTr="00742DB5">
        <w:trPr>
          <w:cantSplit/>
        </w:trPr>
        <w:tc>
          <w:tcPr>
            <w:tcW w:w="9095" w:type="dxa"/>
            <w:gridSpan w:val="7"/>
            <w:tcBorders>
              <w:top w:val="nil"/>
              <w:left w:val="nil"/>
              <w:bottom w:val="nil"/>
              <w:right w:val="nil"/>
            </w:tcBorders>
            <w:shd w:val="clear" w:color="auto" w:fill="FFFFFF"/>
            <w:vAlign w:val="center"/>
          </w:tcPr>
          <w:p w14:paraId="13BB62ED" w14:textId="77777777" w:rsidR="00742DB5" w:rsidRPr="00B71F27" w:rsidRDefault="00742DB5" w:rsidP="00B71F27"/>
        </w:tc>
      </w:tr>
      <w:tr w:rsidR="00742DB5" w:rsidRPr="00B71F27" w14:paraId="72AA44A8" w14:textId="77777777" w:rsidTr="00742DB5">
        <w:trPr>
          <w:cantSplit/>
        </w:trPr>
        <w:tc>
          <w:tcPr>
            <w:tcW w:w="1945" w:type="dxa"/>
            <w:vMerge w:val="restart"/>
            <w:tcBorders>
              <w:top w:val="nil"/>
              <w:left w:val="nil"/>
              <w:bottom w:val="nil"/>
              <w:right w:val="nil"/>
            </w:tcBorders>
            <w:shd w:val="clear" w:color="auto" w:fill="FFFFFF"/>
            <w:vAlign w:val="bottom"/>
          </w:tcPr>
          <w:p w14:paraId="1A6CC1FF" w14:textId="77777777" w:rsidR="00742DB5" w:rsidRPr="00B71F27" w:rsidRDefault="00742DB5" w:rsidP="00B71F27"/>
        </w:tc>
        <w:tc>
          <w:tcPr>
            <w:tcW w:w="3574" w:type="dxa"/>
            <w:gridSpan w:val="3"/>
            <w:tcBorders>
              <w:top w:val="nil"/>
              <w:left w:val="nil"/>
              <w:bottom w:val="nil"/>
              <w:right w:val="nil"/>
            </w:tcBorders>
            <w:shd w:val="clear" w:color="auto" w:fill="FFFFFF"/>
            <w:vAlign w:val="bottom"/>
          </w:tcPr>
          <w:p w14:paraId="595B07C9" w14:textId="77777777" w:rsidR="00742DB5" w:rsidRPr="00B71F27" w:rsidRDefault="00742DB5" w:rsidP="00B71F27">
            <w:proofErr w:type="spellStart"/>
            <w:r w:rsidRPr="00B71F27">
              <w:t>Kolmogorov-Smirnova</w:t>
            </w:r>
            <w:proofErr w:type="spellEnd"/>
          </w:p>
        </w:tc>
        <w:tc>
          <w:tcPr>
            <w:tcW w:w="3576" w:type="dxa"/>
            <w:gridSpan w:val="3"/>
            <w:tcBorders>
              <w:top w:val="nil"/>
              <w:left w:val="single" w:sz="8" w:space="0" w:color="E0E0E0"/>
              <w:bottom w:val="nil"/>
              <w:right w:val="nil"/>
            </w:tcBorders>
            <w:shd w:val="clear" w:color="auto" w:fill="FFFFFF"/>
            <w:vAlign w:val="bottom"/>
          </w:tcPr>
          <w:p w14:paraId="1446940C" w14:textId="77777777" w:rsidR="00742DB5" w:rsidRPr="00B71F27" w:rsidRDefault="00742DB5" w:rsidP="00B71F27">
            <w:proofErr w:type="spellStart"/>
            <w:r w:rsidRPr="00B71F27">
              <w:t>Shapiro-Wilk</w:t>
            </w:r>
            <w:proofErr w:type="spellEnd"/>
          </w:p>
        </w:tc>
      </w:tr>
      <w:tr w:rsidR="00742DB5" w:rsidRPr="00B71F27" w14:paraId="176171BA" w14:textId="77777777" w:rsidTr="00742DB5">
        <w:trPr>
          <w:cantSplit/>
        </w:trPr>
        <w:tc>
          <w:tcPr>
            <w:tcW w:w="1945" w:type="dxa"/>
            <w:vMerge/>
            <w:tcBorders>
              <w:top w:val="nil"/>
              <w:left w:val="nil"/>
              <w:bottom w:val="nil"/>
              <w:right w:val="nil"/>
            </w:tcBorders>
            <w:shd w:val="clear" w:color="auto" w:fill="FFFFFF"/>
            <w:vAlign w:val="bottom"/>
          </w:tcPr>
          <w:p w14:paraId="0918D8FF" w14:textId="77777777" w:rsidR="00742DB5" w:rsidRPr="00B71F27" w:rsidRDefault="00742DB5" w:rsidP="00B71F27"/>
        </w:tc>
        <w:tc>
          <w:tcPr>
            <w:tcW w:w="1191" w:type="dxa"/>
            <w:tcBorders>
              <w:top w:val="nil"/>
              <w:left w:val="nil"/>
              <w:bottom w:val="single" w:sz="8" w:space="0" w:color="152935"/>
              <w:right w:val="single" w:sz="8" w:space="0" w:color="E0E0E0"/>
            </w:tcBorders>
            <w:shd w:val="clear" w:color="auto" w:fill="FFFFFF"/>
            <w:vAlign w:val="bottom"/>
          </w:tcPr>
          <w:p w14:paraId="19495AC6" w14:textId="77777777" w:rsidR="00742DB5" w:rsidRPr="00B71F27" w:rsidRDefault="00742DB5" w:rsidP="00B71F27">
            <w:proofErr w:type="spellStart"/>
            <w:r w:rsidRPr="00B71F27">
              <w:t>Statistic</w:t>
            </w:r>
            <w:proofErr w:type="spellEnd"/>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2E2C10E2" w14:textId="77777777" w:rsidR="00742DB5" w:rsidRPr="00B71F27" w:rsidRDefault="00742DB5" w:rsidP="00B71F27">
            <w:proofErr w:type="spellStart"/>
            <w:r w:rsidRPr="00B71F27">
              <w:t>df</w:t>
            </w:r>
            <w:proofErr w:type="spellEnd"/>
          </w:p>
        </w:tc>
        <w:tc>
          <w:tcPr>
            <w:tcW w:w="1192" w:type="dxa"/>
            <w:tcBorders>
              <w:top w:val="nil"/>
              <w:left w:val="single" w:sz="8" w:space="0" w:color="E0E0E0"/>
              <w:bottom w:val="single" w:sz="8" w:space="0" w:color="152935"/>
              <w:right w:val="nil"/>
            </w:tcBorders>
            <w:shd w:val="clear" w:color="auto" w:fill="FFFFFF"/>
            <w:vAlign w:val="bottom"/>
          </w:tcPr>
          <w:p w14:paraId="6B90755B" w14:textId="77777777" w:rsidR="00742DB5" w:rsidRPr="00B71F27" w:rsidRDefault="00742DB5" w:rsidP="00B71F27">
            <w:proofErr w:type="spellStart"/>
            <w:r w:rsidRPr="00B71F27">
              <w:t>Sig</w:t>
            </w:r>
            <w:proofErr w:type="spellEnd"/>
            <w:r w:rsidRPr="00B71F27">
              <w:t>.</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1FF31A4C" w14:textId="77777777" w:rsidR="00742DB5" w:rsidRPr="00B71F27" w:rsidRDefault="00742DB5" w:rsidP="00B71F27">
            <w:proofErr w:type="spellStart"/>
            <w:r w:rsidRPr="00B71F27">
              <w:t>Statistic</w:t>
            </w:r>
            <w:proofErr w:type="spellEnd"/>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4C44A15D" w14:textId="77777777" w:rsidR="00742DB5" w:rsidRPr="00B71F27" w:rsidRDefault="00742DB5" w:rsidP="00B71F27">
            <w:proofErr w:type="spellStart"/>
            <w:r w:rsidRPr="00B71F27">
              <w:t>df</w:t>
            </w:r>
            <w:proofErr w:type="spellEnd"/>
          </w:p>
        </w:tc>
        <w:tc>
          <w:tcPr>
            <w:tcW w:w="1192" w:type="dxa"/>
            <w:tcBorders>
              <w:top w:val="nil"/>
              <w:left w:val="single" w:sz="8" w:space="0" w:color="E0E0E0"/>
              <w:bottom w:val="single" w:sz="8" w:space="0" w:color="152935"/>
              <w:right w:val="nil"/>
            </w:tcBorders>
            <w:shd w:val="clear" w:color="auto" w:fill="FFFFFF"/>
            <w:vAlign w:val="bottom"/>
          </w:tcPr>
          <w:p w14:paraId="7FEF38C2" w14:textId="77777777" w:rsidR="00742DB5" w:rsidRPr="00B71F27" w:rsidRDefault="00742DB5" w:rsidP="00B71F27">
            <w:proofErr w:type="spellStart"/>
            <w:r w:rsidRPr="00B71F27">
              <w:t>Sig</w:t>
            </w:r>
            <w:proofErr w:type="spellEnd"/>
            <w:r w:rsidRPr="00B71F27">
              <w:t>.</w:t>
            </w:r>
          </w:p>
        </w:tc>
      </w:tr>
      <w:tr w:rsidR="00742DB5" w:rsidRPr="00B71F27" w14:paraId="39FBB9C6" w14:textId="77777777" w:rsidTr="00742DB5">
        <w:trPr>
          <w:cantSplit/>
        </w:trPr>
        <w:tc>
          <w:tcPr>
            <w:tcW w:w="1945" w:type="dxa"/>
            <w:tcBorders>
              <w:top w:val="single" w:sz="8" w:space="0" w:color="152935"/>
              <w:left w:val="nil"/>
              <w:bottom w:val="single" w:sz="8" w:space="0" w:color="AEAEAE"/>
              <w:right w:val="nil"/>
            </w:tcBorders>
            <w:shd w:val="clear" w:color="auto" w:fill="E0E0E0"/>
          </w:tcPr>
          <w:p w14:paraId="10549ACE" w14:textId="77777777" w:rsidR="00742DB5" w:rsidRPr="00B71F27" w:rsidRDefault="00742DB5" w:rsidP="00B71F27">
            <w:r w:rsidRPr="00B71F27">
              <w:t>kiugrás kar nélkül</w:t>
            </w:r>
          </w:p>
        </w:tc>
        <w:tc>
          <w:tcPr>
            <w:tcW w:w="1191" w:type="dxa"/>
            <w:tcBorders>
              <w:top w:val="single" w:sz="8" w:space="0" w:color="152935"/>
              <w:left w:val="nil"/>
              <w:bottom w:val="single" w:sz="8" w:space="0" w:color="AEAEAE"/>
              <w:right w:val="single" w:sz="8" w:space="0" w:color="E0E0E0"/>
            </w:tcBorders>
            <w:shd w:val="clear" w:color="auto" w:fill="F9F9FB"/>
          </w:tcPr>
          <w:p w14:paraId="18C38716" w14:textId="77777777" w:rsidR="00742DB5" w:rsidRPr="00B71F27" w:rsidRDefault="00742DB5" w:rsidP="00B71F27">
            <w:r w:rsidRPr="00B71F27">
              <w:t>,092</w:t>
            </w:r>
          </w:p>
        </w:tc>
        <w:tc>
          <w:tcPr>
            <w:tcW w:w="1191" w:type="dxa"/>
            <w:tcBorders>
              <w:top w:val="single" w:sz="8" w:space="0" w:color="152935"/>
              <w:left w:val="single" w:sz="8" w:space="0" w:color="E0E0E0"/>
              <w:bottom w:val="single" w:sz="8" w:space="0" w:color="AEAEAE"/>
              <w:right w:val="single" w:sz="8" w:space="0" w:color="E0E0E0"/>
            </w:tcBorders>
            <w:shd w:val="clear" w:color="auto" w:fill="F9F9FB"/>
          </w:tcPr>
          <w:p w14:paraId="20221DF4" w14:textId="77777777" w:rsidR="00742DB5" w:rsidRPr="00B71F27" w:rsidRDefault="00742DB5" w:rsidP="00B71F27">
            <w:r w:rsidRPr="00B71F27">
              <w:t>17</w:t>
            </w:r>
          </w:p>
        </w:tc>
        <w:tc>
          <w:tcPr>
            <w:tcW w:w="1192" w:type="dxa"/>
            <w:tcBorders>
              <w:top w:val="single" w:sz="8" w:space="0" w:color="152935"/>
              <w:left w:val="single" w:sz="8" w:space="0" w:color="E0E0E0"/>
              <w:bottom w:val="single" w:sz="8" w:space="0" w:color="AEAEAE"/>
              <w:right w:val="nil"/>
            </w:tcBorders>
            <w:shd w:val="clear" w:color="auto" w:fill="F9F9FB"/>
          </w:tcPr>
          <w:p w14:paraId="57E3CDA4" w14:textId="77777777" w:rsidR="00742DB5" w:rsidRPr="00B71F27" w:rsidRDefault="00742DB5" w:rsidP="00B71F27">
            <w:r w:rsidRPr="00B71F27">
              <w:t>,200*</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5954E8AA" w14:textId="77777777" w:rsidR="00742DB5" w:rsidRPr="00B71F27" w:rsidRDefault="00742DB5" w:rsidP="00B71F27">
            <w:r w:rsidRPr="00B71F27">
              <w:t>,991</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296EA4AA" w14:textId="77777777" w:rsidR="00742DB5" w:rsidRPr="00B71F27" w:rsidRDefault="00742DB5" w:rsidP="00B71F27">
            <w:r w:rsidRPr="00B71F27">
              <w:t>17</w:t>
            </w:r>
          </w:p>
        </w:tc>
        <w:tc>
          <w:tcPr>
            <w:tcW w:w="1192" w:type="dxa"/>
            <w:tcBorders>
              <w:top w:val="single" w:sz="8" w:space="0" w:color="152935"/>
              <w:left w:val="single" w:sz="8" w:space="0" w:color="E0E0E0"/>
              <w:bottom w:val="single" w:sz="8" w:space="0" w:color="AEAEAE"/>
              <w:right w:val="nil"/>
            </w:tcBorders>
            <w:shd w:val="clear" w:color="auto" w:fill="F9F9FB"/>
          </w:tcPr>
          <w:p w14:paraId="14AFDE9C" w14:textId="77777777" w:rsidR="00742DB5" w:rsidRPr="00B71F27" w:rsidRDefault="00742DB5" w:rsidP="00B71F27">
            <w:r w:rsidRPr="00B71F27">
              <w:t>,999</w:t>
            </w:r>
          </w:p>
        </w:tc>
      </w:tr>
      <w:tr w:rsidR="00742DB5" w:rsidRPr="00B71F27" w14:paraId="21D06969" w14:textId="77777777" w:rsidTr="00742DB5">
        <w:trPr>
          <w:cantSplit/>
        </w:trPr>
        <w:tc>
          <w:tcPr>
            <w:tcW w:w="1945" w:type="dxa"/>
            <w:tcBorders>
              <w:top w:val="single" w:sz="8" w:space="0" w:color="AEAEAE"/>
              <w:left w:val="nil"/>
              <w:bottom w:val="single" w:sz="8" w:space="0" w:color="152935"/>
              <w:right w:val="nil"/>
            </w:tcBorders>
            <w:shd w:val="clear" w:color="auto" w:fill="E0E0E0"/>
          </w:tcPr>
          <w:p w14:paraId="0912B620" w14:textId="77777777" w:rsidR="00742DB5" w:rsidRPr="00B71F27" w:rsidRDefault="00742DB5" w:rsidP="00B71F27">
            <w:r w:rsidRPr="00B71F27">
              <w:t>kiugrás karral</w:t>
            </w:r>
          </w:p>
        </w:tc>
        <w:tc>
          <w:tcPr>
            <w:tcW w:w="1191" w:type="dxa"/>
            <w:tcBorders>
              <w:top w:val="single" w:sz="8" w:space="0" w:color="AEAEAE"/>
              <w:left w:val="nil"/>
              <w:bottom w:val="single" w:sz="8" w:space="0" w:color="152935"/>
              <w:right w:val="single" w:sz="8" w:space="0" w:color="E0E0E0"/>
            </w:tcBorders>
            <w:shd w:val="clear" w:color="auto" w:fill="F9F9FB"/>
          </w:tcPr>
          <w:p w14:paraId="2DE1B142" w14:textId="77777777" w:rsidR="00742DB5" w:rsidRPr="00B71F27" w:rsidRDefault="00742DB5" w:rsidP="00B71F27">
            <w:r w:rsidRPr="00B71F27">
              <w:t>,225</w:t>
            </w:r>
          </w:p>
        </w:tc>
        <w:tc>
          <w:tcPr>
            <w:tcW w:w="1191" w:type="dxa"/>
            <w:tcBorders>
              <w:top w:val="single" w:sz="8" w:space="0" w:color="AEAEAE"/>
              <w:left w:val="single" w:sz="8" w:space="0" w:color="E0E0E0"/>
              <w:bottom w:val="single" w:sz="8" w:space="0" w:color="152935"/>
              <w:right w:val="single" w:sz="8" w:space="0" w:color="E0E0E0"/>
            </w:tcBorders>
            <w:shd w:val="clear" w:color="auto" w:fill="F9F9FB"/>
          </w:tcPr>
          <w:p w14:paraId="4659FD54" w14:textId="77777777" w:rsidR="00742DB5" w:rsidRPr="00B71F27" w:rsidRDefault="00742DB5" w:rsidP="00B71F27">
            <w:r w:rsidRPr="00B71F27">
              <w:t>17</w:t>
            </w:r>
          </w:p>
        </w:tc>
        <w:tc>
          <w:tcPr>
            <w:tcW w:w="1192" w:type="dxa"/>
            <w:tcBorders>
              <w:top w:val="single" w:sz="8" w:space="0" w:color="AEAEAE"/>
              <w:left w:val="single" w:sz="8" w:space="0" w:color="E0E0E0"/>
              <w:bottom w:val="single" w:sz="8" w:space="0" w:color="152935"/>
              <w:right w:val="nil"/>
            </w:tcBorders>
            <w:shd w:val="clear" w:color="auto" w:fill="F9F9FB"/>
          </w:tcPr>
          <w:p w14:paraId="05585CE1" w14:textId="77777777" w:rsidR="00742DB5" w:rsidRPr="00B71F27" w:rsidRDefault="00742DB5" w:rsidP="00B71F27">
            <w:r w:rsidRPr="00B71F27">
              <w:t>,022</w:t>
            </w:r>
          </w:p>
        </w:tc>
        <w:tc>
          <w:tcPr>
            <w:tcW w:w="1192" w:type="dxa"/>
            <w:tcBorders>
              <w:top w:val="single" w:sz="8" w:space="0" w:color="AEAEAE"/>
              <w:left w:val="single" w:sz="8" w:space="0" w:color="E0E0E0"/>
              <w:bottom w:val="single" w:sz="8" w:space="0" w:color="152935"/>
              <w:right w:val="single" w:sz="8" w:space="0" w:color="E0E0E0"/>
            </w:tcBorders>
            <w:shd w:val="clear" w:color="auto" w:fill="F9F9FB"/>
          </w:tcPr>
          <w:p w14:paraId="29EFE3A7" w14:textId="77777777" w:rsidR="00742DB5" w:rsidRPr="00B71F27" w:rsidRDefault="00742DB5" w:rsidP="00B71F27">
            <w:r w:rsidRPr="00B71F27">
              <w:t>,894</w:t>
            </w:r>
          </w:p>
        </w:tc>
        <w:tc>
          <w:tcPr>
            <w:tcW w:w="1192" w:type="dxa"/>
            <w:tcBorders>
              <w:top w:val="single" w:sz="8" w:space="0" w:color="AEAEAE"/>
              <w:left w:val="single" w:sz="8" w:space="0" w:color="E0E0E0"/>
              <w:bottom w:val="single" w:sz="8" w:space="0" w:color="152935"/>
              <w:right w:val="single" w:sz="8" w:space="0" w:color="E0E0E0"/>
            </w:tcBorders>
            <w:shd w:val="clear" w:color="auto" w:fill="F9F9FB"/>
          </w:tcPr>
          <w:p w14:paraId="72FD552E" w14:textId="77777777" w:rsidR="00742DB5" w:rsidRPr="00B71F27" w:rsidRDefault="00742DB5" w:rsidP="00B71F27">
            <w:r w:rsidRPr="00B71F27">
              <w:t>17</w:t>
            </w:r>
          </w:p>
        </w:tc>
        <w:tc>
          <w:tcPr>
            <w:tcW w:w="1192" w:type="dxa"/>
            <w:tcBorders>
              <w:top w:val="single" w:sz="8" w:space="0" w:color="AEAEAE"/>
              <w:left w:val="single" w:sz="8" w:space="0" w:color="E0E0E0"/>
              <w:bottom w:val="single" w:sz="8" w:space="0" w:color="152935"/>
              <w:right w:val="nil"/>
            </w:tcBorders>
            <w:shd w:val="clear" w:color="auto" w:fill="F9F9FB"/>
          </w:tcPr>
          <w:p w14:paraId="7BB9CBE7" w14:textId="77777777" w:rsidR="00742DB5" w:rsidRPr="00B71F27" w:rsidRDefault="00742DB5" w:rsidP="00B71F27">
            <w:r w:rsidRPr="00B71F27">
              <w:t>,053</w:t>
            </w:r>
          </w:p>
        </w:tc>
      </w:tr>
      <w:tr w:rsidR="00742DB5" w:rsidRPr="00B71F27" w14:paraId="716D4327" w14:textId="77777777" w:rsidTr="00742DB5">
        <w:trPr>
          <w:cantSplit/>
        </w:trPr>
        <w:tc>
          <w:tcPr>
            <w:tcW w:w="9095" w:type="dxa"/>
            <w:gridSpan w:val="7"/>
            <w:tcBorders>
              <w:top w:val="nil"/>
              <w:left w:val="nil"/>
              <w:bottom w:val="nil"/>
              <w:right w:val="nil"/>
            </w:tcBorders>
            <w:shd w:val="clear" w:color="auto" w:fill="FFFFFF"/>
          </w:tcPr>
          <w:p w14:paraId="5368AACC" w14:textId="77777777" w:rsidR="00742DB5" w:rsidRPr="00B71F27" w:rsidRDefault="00742DB5" w:rsidP="00B71F27">
            <w:r w:rsidRPr="00B71F27">
              <w:t xml:space="preserve">*. </w:t>
            </w:r>
            <w:proofErr w:type="spellStart"/>
            <w:r w:rsidRPr="00B71F27">
              <w:t>This</w:t>
            </w:r>
            <w:proofErr w:type="spellEnd"/>
            <w:r w:rsidRPr="00B71F27">
              <w:t xml:space="preserve"> is a </w:t>
            </w:r>
            <w:proofErr w:type="spellStart"/>
            <w:r w:rsidRPr="00B71F27">
              <w:t>lower</w:t>
            </w:r>
            <w:proofErr w:type="spellEnd"/>
            <w:r w:rsidRPr="00B71F27">
              <w:t xml:space="preserve"> </w:t>
            </w:r>
            <w:proofErr w:type="spellStart"/>
            <w:r w:rsidRPr="00B71F27">
              <w:t>bound</w:t>
            </w:r>
            <w:proofErr w:type="spellEnd"/>
            <w:r w:rsidRPr="00B71F27">
              <w:t xml:space="preserve"> of </w:t>
            </w:r>
            <w:proofErr w:type="spellStart"/>
            <w:r w:rsidRPr="00B71F27">
              <w:t>the</w:t>
            </w:r>
            <w:proofErr w:type="spellEnd"/>
            <w:r w:rsidRPr="00B71F27">
              <w:t xml:space="preserve"> </w:t>
            </w:r>
            <w:proofErr w:type="spellStart"/>
            <w:r w:rsidRPr="00B71F27">
              <w:t>true</w:t>
            </w:r>
            <w:proofErr w:type="spellEnd"/>
            <w:r w:rsidRPr="00B71F27">
              <w:t xml:space="preserve"> </w:t>
            </w:r>
            <w:proofErr w:type="spellStart"/>
            <w:r w:rsidRPr="00B71F27">
              <w:t>significance</w:t>
            </w:r>
            <w:proofErr w:type="spellEnd"/>
            <w:r w:rsidRPr="00B71F27">
              <w:t>.</w:t>
            </w:r>
          </w:p>
        </w:tc>
      </w:tr>
      <w:tr w:rsidR="00742DB5" w:rsidRPr="00B71F27" w14:paraId="6E9E16CC" w14:textId="77777777" w:rsidTr="00742DB5">
        <w:trPr>
          <w:cantSplit/>
        </w:trPr>
        <w:tc>
          <w:tcPr>
            <w:tcW w:w="9095" w:type="dxa"/>
            <w:gridSpan w:val="7"/>
            <w:tcBorders>
              <w:top w:val="nil"/>
              <w:left w:val="nil"/>
              <w:bottom w:val="nil"/>
              <w:right w:val="nil"/>
            </w:tcBorders>
            <w:shd w:val="clear" w:color="auto" w:fill="FFFFFF"/>
          </w:tcPr>
          <w:p w14:paraId="07B6105B" w14:textId="77777777" w:rsidR="00742DB5" w:rsidRPr="00B71F27" w:rsidRDefault="00742DB5" w:rsidP="00B71F27">
            <w:r w:rsidRPr="00B71F27">
              <w:t xml:space="preserve">a. </w:t>
            </w:r>
            <w:proofErr w:type="spellStart"/>
            <w:r w:rsidRPr="00B71F27">
              <w:t>Lilliefors</w:t>
            </w:r>
            <w:proofErr w:type="spellEnd"/>
            <w:r w:rsidRPr="00B71F27">
              <w:t xml:space="preserve"> </w:t>
            </w:r>
            <w:proofErr w:type="spellStart"/>
            <w:r w:rsidRPr="00B71F27">
              <w:t>Significance</w:t>
            </w:r>
            <w:proofErr w:type="spellEnd"/>
            <w:r w:rsidRPr="00B71F27">
              <w:t xml:space="preserve"> </w:t>
            </w:r>
            <w:proofErr w:type="spellStart"/>
            <w:r w:rsidRPr="00B71F27">
              <w:t>Correction</w:t>
            </w:r>
            <w:proofErr w:type="spellEnd"/>
          </w:p>
        </w:tc>
      </w:tr>
    </w:tbl>
    <w:p w14:paraId="11EA5F68" w14:textId="402AF34E" w:rsidR="00742DB5" w:rsidRPr="00742DB5" w:rsidRDefault="00742DB5" w:rsidP="00B71F27">
      <w:pPr>
        <w:rPr>
          <w:lang w:val="en-GB"/>
        </w:rPr>
      </w:pPr>
    </w:p>
    <w:p w14:paraId="675AD313" w14:textId="77777777" w:rsidR="00742DB5" w:rsidRPr="00742DB5" w:rsidRDefault="00742DB5" w:rsidP="00B71F27">
      <w:pPr>
        <w:rPr>
          <w:lang w:val="en-GB"/>
        </w:rPr>
      </w:pPr>
      <w:r w:rsidRPr="00742DB5">
        <w:rPr>
          <w:lang w:val="en-GB"/>
        </w:rPr>
        <w:t>Anthropometric Profile</w:t>
      </w:r>
    </w:p>
    <w:p w14:paraId="226065E2" w14:textId="77777777" w:rsidR="00742DB5" w:rsidRPr="00742DB5" w:rsidRDefault="00742DB5" w:rsidP="00B71F27">
      <w:pPr>
        <w:rPr>
          <w:lang w:val="en-GB"/>
        </w:rPr>
      </w:pPr>
      <w:r w:rsidRPr="00742DB5">
        <w:rPr>
          <w:lang w:val="en-GB"/>
        </w:rPr>
        <w:t xml:space="preserve">On the first day, anthropometric measurements are conducted, including the measurement of widths, lengths, circumferences, and skinfolds of the subjects. For these measurements, we utilized spreading </w:t>
      </w:r>
      <w:proofErr w:type="spellStart"/>
      <w:r w:rsidRPr="00742DB5">
        <w:rPr>
          <w:lang w:val="en-GB"/>
        </w:rPr>
        <w:t>calipers</w:t>
      </w:r>
      <w:proofErr w:type="spellEnd"/>
      <w:r w:rsidRPr="00742DB5">
        <w:rPr>
          <w:lang w:val="en-GB"/>
        </w:rPr>
        <w:t xml:space="preserve">, sliding </w:t>
      </w:r>
      <w:proofErr w:type="spellStart"/>
      <w:r w:rsidRPr="00742DB5">
        <w:rPr>
          <w:lang w:val="en-GB"/>
        </w:rPr>
        <w:t>calipers</w:t>
      </w:r>
      <w:proofErr w:type="spellEnd"/>
      <w:r w:rsidRPr="00742DB5">
        <w:rPr>
          <w:lang w:val="en-GB"/>
        </w:rPr>
        <w:t xml:space="preserve">, an anthropometer, a measuring tape, and a skinfold </w:t>
      </w:r>
      <w:proofErr w:type="spellStart"/>
      <w:r w:rsidRPr="00742DB5">
        <w:rPr>
          <w:lang w:val="en-GB"/>
        </w:rPr>
        <w:t>caliper</w:t>
      </w:r>
      <w:proofErr w:type="spellEnd"/>
      <w:r w:rsidRPr="00742DB5">
        <w:rPr>
          <w:lang w:val="en-GB"/>
        </w:rPr>
        <w:t xml:space="preserve"> (Model SH5020, Saehan Corporation, Korea). Based on the results, an anthropometric profile is created for each player, supplemented by information regarding their playing position during matches.</w:t>
      </w:r>
    </w:p>
    <w:p w14:paraId="67314ABE" w14:textId="77777777" w:rsidR="00742DB5" w:rsidRPr="00742DB5" w:rsidRDefault="00742DB5" w:rsidP="00B71F27">
      <w:pPr>
        <w:rPr>
          <w:lang w:val="en-GB"/>
        </w:rPr>
      </w:pPr>
      <w:r w:rsidRPr="00742DB5">
        <w:rPr>
          <w:lang w:val="en-GB"/>
        </w:rPr>
        <w:t>Vertical Water Jump Test</w:t>
      </w:r>
    </w:p>
    <w:p w14:paraId="690D4B57" w14:textId="77777777" w:rsidR="00742DB5" w:rsidRPr="00742DB5" w:rsidRDefault="00742DB5" w:rsidP="00B71F27">
      <w:pPr>
        <w:rPr>
          <w:lang w:val="en-GB"/>
        </w:rPr>
      </w:pPr>
      <w:r w:rsidRPr="00742DB5">
        <w:rPr>
          <w:lang w:val="en-GB"/>
        </w:rPr>
        <w:t xml:space="preserve">To determine the height of the vertical jump from the water, a linear transducer (linear encoder, </w:t>
      </w:r>
      <w:proofErr w:type="spellStart"/>
      <w:r w:rsidRPr="00742DB5">
        <w:rPr>
          <w:lang w:val="en-GB"/>
        </w:rPr>
        <w:t>Chronojump-Boscosystem</w:t>
      </w:r>
      <w:proofErr w:type="spellEnd"/>
      <w:r w:rsidRPr="00742DB5">
        <w:rPr>
          <w:lang w:val="en-GB"/>
        </w:rPr>
        <w:t>, Barcelona, Spain) was employed. The execution and the setup of the test are illustrated in Figure 2.</w:t>
      </w:r>
    </w:p>
    <w:p w14:paraId="3E102D29" w14:textId="77777777" w:rsidR="00742DB5" w:rsidRPr="00742DB5" w:rsidRDefault="00742DB5" w:rsidP="00B71F27">
      <w:pPr>
        <w:rPr>
          <w:lang w:val="en-GB"/>
        </w:rPr>
      </w:pPr>
      <w:r w:rsidRPr="00742DB5">
        <w:rPr>
          <w:lang w:val="en-GB"/>
        </w:rPr>
        <w:t xml:space="preserve">The device was mounted on an </w:t>
      </w:r>
      <w:proofErr w:type="spellStart"/>
      <w:r w:rsidRPr="00742DB5">
        <w:rPr>
          <w:lang w:val="en-GB"/>
        </w:rPr>
        <w:t>aluminum</w:t>
      </w:r>
      <w:proofErr w:type="spellEnd"/>
      <w:r w:rsidRPr="00742DB5">
        <w:rPr>
          <w:lang w:val="en-GB"/>
        </w:rPr>
        <w:t xml:space="preserve"> rod fixed crosswise 1 meter above the water level. The carabiner extending from the transducer was fastened to the subject's water polo cap. The test commenced from a standard "floating" position, with the subject positioned directly beneath the device. Particular care was taken to ensure that the subject's acromion (tip of the shoulder) was aligned with the water surface. To continuously monitor the vertical alignment, vertical poles were attached to the side of the pool, serving as a reference for the verticality of the cord pulled from the transducer. The subjects repeated the test three times using arm assistance, with a 2-minute rest interval between repetitions. The device recorded the jump height and displayed it instantaneously via computer software (</w:t>
      </w:r>
      <w:proofErr w:type="spellStart"/>
      <w:r w:rsidRPr="00742DB5">
        <w:rPr>
          <w:lang w:val="en-GB"/>
        </w:rPr>
        <w:t>Chronojump-Boscosystem</w:t>
      </w:r>
      <w:proofErr w:type="spellEnd"/>
      <w:r w:rsidRPr="00742DB5">
        <w:rPr>
          <w:lang w:val="en-GB"/>
        </w:rPr>
        <w:t>, Barcelona, Spain).</w:t>
      </w:r>
    </w:p>
    <w:p w14:paraId="296EF914" w14:textId="6CEBA4E9" w:rsidR="00742DB5" w:rsidRPr="00B71F27" w:rsidRDefault="00742DB5" w:rsidP="00B71F27">
      <w:r w:rsidRPr="00B71F27">
        <w:lastRenderedPageBreak/>
        <w:drawing>
          <wp:inline distT="0" distB="0" distL="0" distR="0" wp14:anchorId="27225F74" wp14:editId="6CB4B2B0">
            <wp:extent cx="4965575" cy="4164676"/>
            <wp:effectExtent l="0" t="0" r="0" b="0"/>
            <wp:docPr id="1" name="Kép 0" descr="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ng"/>
                    <pic:cNvPicPr/>
                  </pic:nvPicPr>
                  <pic:blipFill>
                    <a:blip r:embed="rId5" cstate="print"/>
                    <a:stretch>
                      <a:fillRect/>
                    </a:stretch>
                  </pic:blipFill>
                  <pic:spPr>
                    <a:xfrm>
                      <a:off x="0" y="0"/>
                      <a:ext cx="5153040" cy="4321905"/>
                    </a:xfrm>
                    <a:prstGeom prst="rect">
                      <a:avLst/>
                    </a:prstGeom>
                  </pic:spPr>
                </pic:pic>
              </a:graphicData>
            </a:graphic>
          </wp:inline>
        </w:drawing>
      </w:r>
    </w:p>
    <w:tbl>
      <w:tblPr>
        <w:tblW w:w="8144" w:type="dxa"/>
        <w:jc w:val="center"/>
        <w:tblCellMar>
          <w:left w:w="70" w:type="dxa"/>
          <w:right w:w="70" w:type="dxa"/>
        </w:tblCellMar>
        <w:tblLook w:val="04A0" w:firstRow="1" w:lastRow="0" w:firstColumn="1" w:lastColumn="0" w:noHBand="0" w:noVBand="1"/>
      </w:tblPr>
      <w:tblGrid>
        <w:gridCol w:w="840"/>
        <w:gridCol w:w="1017"/>
        <w:gridCol w:w="1111"/>
        <w:gridCol w:w="1533"/>
        <w:gridCol w:w="1493"/>
        <w:gridCol w:w="1342"/>
        <w:gridCol w:w="808"/>
      </w:tblGrid>
      <w:tr w:rsidR="00742DB5" w:rsidRPr="00B71F27" w14:paraId="41B1EC21" w14:textId="77777777" w:rsidTr="003F0B36">
        <w:trPr>
          <w:trHeight w:val="332"/>
          <w:jc w:val="center"/>
        </w:trPr>
        <w:tc>
          <w:tcPr>
            <w:tcW w:w="8144"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3AEBDBD" w14:textId="77777777" w:rsidR="00742DB5" w:rsidRPr="00B71F27" w:rsidRDefault="00742DB5" w:rsidP="00B71F27">
            <w:r w:rsidRPr="00B71F27">
              <w:t>Bőrredők (mm)</w:t>
            </w:r>
          </w:p>
        </w:tc>
      </w:tr>
      <w:tr w:rsidR="00742DB5" w:rsidRPr="00B71F27" w14:paraId="421D20DE" w14:textId="77777777" w:rsidTr="003F0B36">
        <w:trPr>
          <w:trHeight w:val="332"/>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BC7A1D" w14:textId="77777777" w:rsidR="00742DB5" w:rsidRPr="00B71F27" w:rsidRDefault="00742DB5" w:rsidP="00B71F27"/>
        </w:tc>
        <w:tc>
          <w:tcPr>
            <w:tcW w:w="1017" w:type="dxa"/>
            <w:tcBorders>
              <w:top w:val="nil"/>
              <w:left w:val="nil"/>
              <w:bottom w:val="single" w:sz="4" w:space="0" w:color="auto"/>
              <w:right w:val="single" w:sz="4" w:space="0" w:color="auto"/>
            </w:tcBorders>
            <w:shd w:val="clear" w:color="000000" w:fill="FFFFFF"/>
            <w:noWrap/>
            <w:vAlign w:val="center"/>
            <w:hideMark/>
          </w:tcPr>
          <w:p w14:paraId="16A5995B" w14:textId="77777777" w:rsidR="00742DB5" w:rsidRPr="00B71F27" w:rsidRDefault="00742DB5" w:rsidP="00B71F27">
            <w:r w:rsidRPr="00B71F27">
              <w:t>Bicepsz</w:t>
            </w:r>
          </w:p>
        </w:tc>
        <w:tc>
          <w:tcPr>
            <w:tcW w:w="1111" w:type="dxa"/>
            <w:tcBorders>
              <w:top w:val="nil"/>
              <w:left w:val="nil"/>
              <w:bottom w:val="single" w:sz="4" w:space="0" w:color="auto"/>
              <w:right w:val="single" w:sz="4" w:space="0" w:color="auto"/>
            </w:tcBorders>
            <w:shd w:val="clear" w:color="000000" w:fill="FFFFFF"/>
            <w:noWrap/>
            <w:vAlign w:val="center"/>
            <w:hideMark/>
          </w:tcPr>
          <w:p w14:paraId="69F90455" w14:textId="77777777" w:rsidR="00742DB5" w:rsidRPr="00B71F27" w:rsidRDefault="00742DB5" w:rsidP="00B71F27">
            <w:r w:rsidRPr="00B71F27">
              <w:t>Tricepsz</w:t>
            </w:r>
          </w:p>
        </w:tc>
        <w:tc>
          <w:tcPr>
            <w:tcW w:w="1533" w:type="dxa"/>
            <w:tcBorders>
              <w:top w:val="nil"/>
              <w:left w:val="nil"/>
              <w:bottom w:val="single" w:sz="4" w:space="0" w:color="auto"/>
              <w:right w:val="single" w:sz="4" w:space="0" w:color="auto"/>
            </w:tcBorders>
            <w:shd w:val="clear" w:color="000000" w:fill="FFFFFF"/>
            <w:noWrap/>
            <w:vAlign w:val="center"/>
            <w:hideMark/>
          </w:tcPr>
          <w:p w14:paraId="11282DA3" w14:textId="77777777" w:rsidR="00742DB5" w:rsidRPr="00B71F27" w:rsidRDefault="00742DB5" w:rsidP="00B71F27">
            <w:r w:rsidRPr="00B71F27">
              <w:t>Subscapula</w:t>
            </w:r>
          </w:p>
        </w:tc>
        <w:tc>
          <w:tcPr>
            <w:tcW w:w="1493" w:type="dxa"/>
            <w:tcBorders>
              <w:top w:val="nil"/>
              <w:left w:val="nil"/>
              <w:bottom w:val="single" w:sz="4" w:space="0" w:color="auto"/>
              <w:right w:val="single" w:sz="4" w:space="0" w:color="auto"/>
            </w:tcBorders>
            <w:shd w:val="clear" w:color="000000" w:fill="FFFFFF"/>
            <w:noWrap/>
            <w:vAlign w:val="center"/>
            <w:hideMark/>
          </w:tcPr>
          <w:p w14:paraId="4D6B8A40" w14:textId="77777777" w:rsidR="00742DB5" w:rsidRPr="00B71F27" w:rsidRDefault="00742DB5" w:rsidP="00B71F27">
            <w:r w:rsidRPr="00B71F27">
              <w:t>Suprailiaca</w:t>
            </w:r>
          </w:p>
        </w:tc>
        <w:tc>
          <w:tcPr>
            <w:tcW w:w="1342" w:type="dxa"/>
            <w:tcBorders>
              <w:top w:val="nil"/>
              <w:left w:val="nil"/>
              <w:bottom w:val="single" w:sz="4" w:space="0" w:color="auto"/>
              <w:right w:val="single" w:sz="4" w:space="0" w:color="auto"/>
            </w:tcBorders>
            <w:shd w:val="clear" w:color="000000" w:fill="FFFFFF"/>
            <w:noWrap/>
            <w:vAlign w:val="center"/>
            <w:hideMark/>
          </w:tcPr>
          <w:p w14:paraId="31A39065" w14:textId="77777777" w:rsidR="00742DB5" w:rsidRPr="00B71F27" w:rsidRDefault="00742DB5" w:rsidP="00B71F27">
            <w:r w:rsidRPr="00B71F27">
              <w:t>Abdomen</w:t>
            </w:r>
          </w:p>
        </w:tc>
        <w:tc>
          <w:tcPr>
            <w:tcW w:w="808" w:type="dxa"/>
            <w:tcBorders>
              <w:top w:val="nil"/>
              <w:left w:val="nil"/>
              <w:bottom w:val="single" w:sz="4" w:space="0" w:color="auto"/>
              <w:right w:val="single" w:sz="4" w:space="0" w:color="auto"/>
            </w:tcBorders>
            <w:shd w:val="clear" w:color="000000" w:fill="FFFFFF"/>
            <w:noWrap/>
            <w:vAlign w:val="center"/>
            <w:hideMark/>
          </w:tcPr>
          <w:p w14:paraId="6AE72FAE" w14:textId="77777777" w:rsidR="00742DB5" w:rsidRPr="00B71F27" w:rsidRDefault="00742DB5" w:rsidP="00B71F27">
            <w:r w:rsidRPr="00B71F27">
              <w:t>Comb</w:t>
            </w:r>
          </w:p>
        </w:tc>
      </w:tr>
      <w:tr w:rsidR="00742DB5" w:rsidRPr="00B71F27" w14:paraId="4A49998E" w14:textId="77777777" w:rsidTr="003F0B36">
        <w:trPr>
          <w:trHeight w:val="28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2CBD2" w14:textId="77777777" w:rsidR="00742DB5" w:rsidRPr="00B71F27" w:rsidRDefault="00742DB5" w:rsidP="00B71F27">
            <w:r w:rsidRPr="00B71F27">
              <w:t>Átlag</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1ED23C10" w14:textId="77777777" w:rsidR="00742DB5" w:rsidRPr="00B71F27" w:rsidRDefault="00742DB5" w:rsidP="00B71F27">
            <w:r w:rsidRPr="00B71F27">
              <w:t>6,83</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0257068F" w14:textId="77777777" w:rsidR="00742DB5" w:rsidRPr="00B71F27" w:rsidRDefault="00742DB5" w:rsidP="00B71F27">
            <w:r w:rsidRPr="00B71F27">
              <w:t>11,28</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5FA36022" w14:textId="77777777" w:rsidR="00742DB5" w:rsidRPr="00B71F27" w:rsidRDefault="00742DB5" w:rsidP="00B71F27">
            <w:r w:rsidRPr="00B71F27">
              <w:t>15,83</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19ABDD6F" w14:textId="77777777" w:rsidR="00742DB5" w:rsidRPr="00B71F27" w:rsidRDefault="00742DB5" w:rsidP="00B71F27">
            <w:r w:rsidRPr="00B71F27">
              <w:t>24,33</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14:paraId="715AB713" w14:textId="77777777" w:rsidR="00742DB5" w:rsidRPr="00B71F27" w:rsidRDefault="00742DB5" w:rsidP="00B71F27">
            <w:r w:rsidRPr="00B71F27">
              <w:t>18,56</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402E463E" w14:textId="77777777" w:rsidR="00742DB5" w:rsidRPr="00B71F27" w:rsidRDefault="00742DB5" w:rsidP="00B71F27">
            <w:r w:rsidRPr="00B71F27">
              <w:t>22,22</w:t>
            </w:r>
          </w:p>
        </w:tc>
      </w:tr>
      <w:tr w:rsidR="00742DB5" w:rsidRPr="00B71F27" w14:paraId="0545C5B7" w14:textId="77777777" w:rsidTr="003F0B36">
        <w:trPr>
          <w:trHeight w:val="28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4BF0C" w14:textId="77777777" w:rsidR="00742DB5" w:rsidRPr="00B71F27" w:rsidRDefault="00742DB5" w:rsidP="00B71F27">
            <w:r w:rsidRPr="00B71F27">
              <w:t>Szórás</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5971D665" w14:textId="77777777" w:rsidR="00742DB5" w:rsidRPr="00B71F27" w:rsidRDefault="00742DB5" w:rsidP="00B71F27">
            <w:r w:rsidRPr="00B71F27">
              <w:t>3,01</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7F3AD2E1" w14:textId="77777777" w:rsidR="00742DB5" w:rsidRPr="00B71F27" w:rsidRDefault="00742DB5" w:rsidP="00B71F27">
            <w:r w:rsidRPr="00B71F27">
              <w:t>2,97</w:t>
            </w:r>
          </w:p>
        </w:tc>
        <w:tc>
          <w:tcPr>
            <w:tcW w:w="1533" w:type="dxa"/>
            <w:tcBorders>
              <w:top w:val="single" w:sz="4" w:space="0" w:color="auto"/>
              <w:left w:val="nil"/>
              <w:bottom w:val="single" w:sz="4" w:space="0" w:color="auto"/>
              <w:right w:val="single" w:sz="4" w:space="0" w:color="auto"/>
            </w:tcBorders>
            <w:shd w:val="clear" w:color="auto" w:fill="auto"/>
            <w:noWrap/>
            <w:vAlign w:val="center"/>
            <w:hideMark/>
          </w:tcPr>
          <w:p w14:paraId="0EB8FB0D" w14:textId="77777777" w:rsidR="00742DB5" w:rsidRPr="00B71F27" w:rsidRDefault="00742DB5" w:rsidP="00B71F27">
            <w:r w:rsidRPr="00B71F27">
              <w:t>6,24</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6983D831" w14:textId="77777777" w:rsidR="00742DB5" w:rsidRPr="00B71F27" w:rsidRDefault="00742DB5" w:rsidP="00B71F27">
            <w:r w:rsidRPr="00B71F27">
              <w:t>6,66</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14:paraId="0209D208" w14:textId="77777777" w:rsidR="00742DB5" w:rsidRPr="00B71F27" w:rsidRDefault="00742DB5" w:rsidP="00B71F27">
            <w:r w:rsidRPr="00B71F27">
              <w:t>8,07</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4DCB248B" w14:textId="77777777" w:rsidR="00742DB5" w:rsidRPr="00B71F27" w:rsidRDefault="00742DB5" w:rsidP="00B71F27">
            <w:r w:rsidRPr="00B71F27">
              <w:t>6,66</w:t>
            </w:r>
          </w:p>
        </w:tc>
      </w:tr>
    </w:tbl>
    <w:p w14:paraId="74FE87DA" w14:textId="1CFD8F8D" w:rsidR="00742DB5" w:rsidRPr="00B71F27" w:rsidRDefault="00742DB5" w:rsidP="00B71F27">
      <w:proofErr w:type="spellStart"/>
      <w:r w:rsidRPr="00B71F27">
        <w:t>For</w:t>
      </w:r>
      <w:proofErr w:type="spellEnd"/>
      <w:r w:rsidRPr="00B71F27">
        <w:t xml:space="preserve"> </w:t>
      </w:r>
      <w:proofErr w:type="spellStart"/>
      <w:r w:rsidRPr="00B71F27">
        <w:t>this</w:t>
      </w:r>
      <w:proofErr w:type="spellEnd"/>
      <w:r w:rsidRPr="00B71F27">
        <w:t xml:space="preserve"> </w:t>
      </w:r>
      <w:proofErr w:type="spellStart"/>
      <w:r w:rsidRPr="00B71F27">
        <w:t>measurement</w:t>
      </w:r>
      <w:proofErr w:type="spellEnd"/>
      <w:r w:rsidRPr="00B71F27">
        <w:t xml:space="preserve">, </w:t>
      </w:r>
      <w:proofErr w:type="spellStart"/>
      <w:r w:rsidRPr="00B71F27">
        <w:t>the</w:t>
      </w:r>
      <w:proofErr w:type="spellEnd"/>
      <w:r w:rsidRPr="00B71F27">
        <w:t xml:space="preserve"> </w:t>
      </w:r>
      <w:proofErr w:type="spellStart"/>
      <w:r w:rsidRPr="00B71F27">
        <w:t>skin</w:t>
      </w:r>
      <w:proofErr w:type="spellEnd"/>
      <w:r w:rsidRPr="00B71F27">
        <w:t xml:space="preserve"> and </w:t>
      </w:r>
      <w:proofErr w:type="spellStart"/>
      <w:r w:rsidRPr="00B71F27">
        <w:t>the</w:t>
      </w:r>
      <w:proofErr w:type="spellEnd"/>
      <w:r w:rsidRPr="00B71F27">
        <w:t xml:space="preserve"> </w:t>
      </w:r>
      <w:proofErr w:type="spellStart"/>
      <w:r w:rsidRPr="00B71F27">
        <w:t>subcutaneous</w:t>
      </w:r>
      <w:proofErr w:type="spellEnd"/>
      <w:r w:rsidRPr="00B71F27">
        <w:t xml:space="preserve"> </w:t>
      </w:r>
      <w:proofErr w:type="spellStart"/>
      <w:r w:rsidRPr="00B71F27">
        <w:t>connective</w:t>
      </w:r>
      <w:proofErr w:type="spellEnd"/>
      <w:r w:rsidRPr="00B71F27">
        <w:t xml:space="preserve"> </w:t>
      </w:r>
      <w:proofErr w:type="spellStart"/>
      <w:r w:rsidRPr="00B71F27">
        <w:t>tissue</w:t>
      </w:r>
      <w:proofErr w:type="spellEnd"/>
      <w:r w:rsidRPr="00B71F27">
        <w:t xml:space="preserve"> </w:t>
      </w:r>
      <w:proofErr w:type="spellStart"/>
      <w:r w:rsidRPr="00B71F27">
        <w:t>are</w:t>
      </w:r>
      <w:proofErr w:type="spellEnd"/>
      <w:r w:rsidRPr="00B71F27">
        <w:t xml:space="preserve"> </w:t>
      </w:r>
      <w:proofErr w:type="spellStart"/>
      <w:r w:rsidRPr="00B71F27">
        <w:t>grasped</w:t>
      </w:r>
      <w:proofErr w:type="spellEnd"/>
      <w:r w:rsidRPr="00B71F27">
        <w:t xml:space="preserve"> </w:t>
      </w:r>
      <w:proofErr w:type="spellStart"/>
      <w:r w:rsidRPr="00B71F27">
        <w:t>with</w:t>
      </w:r>
      <w:proofErr w:type="spellEnd"/>
      <w:r w:rsidRPr="00B71F27">
        <w:t xml:space="preserve"> </w:t>
      </w:r>
      <w:proofErr w:type="spellStart"/>
      <w:r w:rsidRPr="00B71F27">
        <w:t>the</w:t>
      </w:r>
      <w:proofErr w:type="spellEnd"/>
      <w:r w:rsidRPr="00B71F27">
        <w:t xml:space="preserve"> </w:t>
      </w:r>
      <w:proofErr w:type="spellStart"/>
      <w:r w:rsidRPr="00B71F27">
        <w:t>thumb</w:t>
      </w:r>
      <w:proofErr w:type="spellEnd"/>
      <w:r w:rsidRPr="00B71F27">
        <w:t xml:space="preserve"> and index </w:t>
      </w:r>
      <w:proofErr w:type="spellStart"/>
      <w:r w:rsidRPr="00B71F27">
        <w:t>finger</w:t>
      </w:r>
      <w:proofErr w:type="spellEnd"/>
      <w:r w:rsidRPr="00B71F27">
        <w:t xml:space="preserve"> of </w:t>
      </w:r>
      <w:proofErr w:type="spellStart"/>
      <w:r w:rsidRPr="00B71F27">
        <w:t>the</w:t>
      </w:r>
      <w:proofErr w:type="spellEnd"/>
      <w:r w:rsidRPr="00B71F27">
        <w:t xml:space="preserve"> </w:t>
      </w:r>
      <w:proofErr w:type="spellStart"/>
      <w:r w:rsidRPr="00B71F27">
        <w:t>left</w:t>
      </w:r>
      <w:proofErr w:type="spellEnd"/>
      <w:r w:rsidRPr="00B71F27">
        <w:t xml:space="preserve"> </w:t>
      </w:r>
      <w:proofErr w:type="spellStart"/>
      <w:r w:rsidRPr="00B71F27">
        <w:t>hand</w:t>
      </w:r>
      <w:proofErr w:type="spellEnd"/>
      <w:r w:rsidRPr="00B71F27">
        <w:t xml:space="preserve"> and lifted </w:t>
      </w:r>
      <w:proofErr w:type="spellStart"/>
      <w:r w:rsidRPr="00B71F27">
        <w:t>away</w:t>
      </w:r>
      <w:proofErr w:type="spellEnd"/>
      <w:r w:rsidRPr="00B71F27">
        <w:t xml:space="preserve"> </w:t>
      </w:r>
      <w:proofErr w:type="spellStart"/>
      <w:r w:rsidRPr="00B71F27">
        <w:t>from</w:t>
      </w:r>
      <w:proofErr w:type="spellEnd"/>
      <w:r w:rsidRPr="00B71F27">
        <w:t xml:space="preserve"> </w:t>
      </w:r>
      <w:proofErr w:type="spellStart"/>
      <w:r w:rsidRPr="00B71F27">
        <w:t>the</w:t>
      </w:r>
      <w:proofErr w:type="spellEnd"/>
      <w:r w:rsidRPr="00B71F27">
        <w:t xml:space="preserve"> </w:t>
      </w:r>
      <w:proofErr w:type="spellStart"/>
      <w:r w:rsidRPr="00B71F27">
        <w:t>underlying</w:t>
      </w:r>
      <w:proofErr w:type="spellEnd"/>
      <w:r w:rsidRPr="00B71F27">
        <w:t xml:space="preserve"> </w:t>
      </w:r>
      <w:proofErr w:type="spellStart"/>
      <w:r w:rsidRPr="00B71F27">
        <w:t>muscles</w:t>
      </w:r>
      <w:proofErr w:type="spellEnd"/>
      <w:r w:rsidRPr="00B71F27">
        <w:t xml:space="preserve">. The </w:t>
      </w:r>
      <w:proofErr w:type="spellStart"/>
      <w:r w:rsidRPr="00B71F27">
        <w:t>contact</w:t>
      </w:r>
      <w:proofErr w:type="spellEnd"/>
      <w:r w:rsidRPr="00B71F27">
        <w:t xml:space="preserve"> </w:t>
      </w:r>
      <w:proofErr w:type="spellStart"/>
      <w:r w:rsidRPr="00B71F27">
        <w:t>plates</w:t>
      </w:r>
      <w:proofErr w:type="spellEnd"/>
      <w:r w:rsidRPr="00B71F27">
        <w:t xml:space="preserve"> of </w:t>
      </w:r>
      <w:proofErr w:type="spellStart"/>
      <w:r w:rsidRPr="00B71F27">
        <w:t>the</w:t>
      </w:r>
      <w:proofErr w:type="spellEnd"/>
      <w:r w:rsidRPr="00B71F27">
        <w:t xml:space="preserve"> </w:t>
      </w:r>
      <w:proofErr w:type="spellStart"/>
      <w:r w:rsidRPr="00B71F27">
        <w:t>caliper</w:t>
      </w:r>
      <w:proofErr w:type="spellEnd"/>
      <w:r w:rsidRPr="00B71F27">
        <w:t xml:space="preserve"> </w:t>
      </w:r>
      <w:proofErr w:type="spellStart"/>
      <w:r w:rsidRPr="00B71F27">
        <w:t>are</w:t>
      </w:r>
      <w:proofErr w:type="spellEnd"/>
      <w:r w:rsidRPr="00B71F27">
        <w:t xml:space="preserve"> </w:t>
      </w:r>
      <w:proofErr w:type="spellStart"/>
      <w:r w:rsidRPr="00B71F27">
        <w:t>placed</w:t>
      </w:r>
      <w:proofErr w:type="spellEnd"/>
      <w:r w:rsidRPr="00B71F27">
        <w:t xml:space="preserve"> 1 cm </w:t>
      </w:r>
      <w:proofErr w:type="spellStart"/>
      <w:r w:rsidRPr="00B71F27">
        <w:t>below</w:t>
      </w:r>
      <w:proofErr w:type="spellEnd"/>
      <w:r w:rsidRPr="00B71F27">
        <w:t xml:space="preserve"> </w:t>
      </w:r>
      <w:proofErr w:type="spellStart"/>
      <w:r w:rsidRPr="00B71F27">
        <w:t>the</w:t>
      </w:r>
      <w:proofErr w:type="spellEnd"/>
      <w:r w:rsidRPr="00B71F27">
        <w:t xml:space="preserve"> </w:t>
      </w:r>
      <w:proofErr w:type="spellStart"/>
      <w:r w:rsidRPr="00B71F27">
        <w:t>fingers</w:t>
      </w:r>
      <w:proofErr w:type="spellEnd"/>
      <w:r w:rsidRPr="00B71F27">
        <w:t xml:space="preserve"> of </w:t>
      </w:r>
      <w:proofErr w:type="spellStart"/>
      <w:r w:rsidRPr="00B71F27">
        <w:t>the</w:t>
      </w:r>
      <w:proofErr w:type="spellEnd"/>
      <w:r w:rsidRPr="00B71F27">
        <w:t xml:space="preserve"> </w:t>
      </w:r>
      <w:proofErr w:type="spellStart"/>
      <w:r w:rsidRPr="00B71F27">
        <w:t>left</w:t>
      </w:r>
      <w:proofErr w:type="spellEnd"/>
      <w:r w:rsidRPr="00B71F27">
        <w:t xml:space="preserve"> </w:t>
      </w:r>
      <w:proofErr w:type="spellStart"/>
      <w:r w:rsidRPr="00B71F27">
        <w:t>hand</w:t>
      </w:r>
      <w:proofErr w:type="spellEnd"/>
      <w:r w:rsidRPr="00B71F27">
        <w:t xml:space="preserve"> and </w:t>
      </w:r>
      <w:proofErr w:type="spellStart"/>
      <w:r w:rsidRPr="00B71F27">
        <w:t>are</w:t>
      </w:r>
      <w:proofErr w:type="spellEnd"/>
      <w:r w:rsidRPr="00B71F27">
        <w:t xml:space="preserve"> </w:t>
      </w:r>
      <w:proofErr w:type="spellStart"/>
      <w:r w:rsidRPr="00B71F27">
        <w:t>allowed</w:t>
      </w:r>
      <w:proofErr w:type="spellEnd"/>
      <w:r w:rsidRPr="00B71F27">
        <w:t xml:space="preserve"> </w:t>
      </w:r>
      <w:proofErr w:type="spellStart"/>
      <w:r w:rsidRPr="00B71F27">
        <w:t>to</w:t>
      </w:r>
      <w:proofErr w:type="spellEnd"/>
      <w:r w:rsidRPr="00B71F27">
        <w:t xml:space="preserve"> </w:t>
      </w:r>
      <w:proofErr w:type="spellStart"/>
      <w:r w:rsidRPr="00B71F27">
        <w:t>fully</w:t>
      </w:r>
      <w:proofErr w:type="spellEnd"/>
      <w:r w:rsidRPr="00B71F27">
        <w:t xml:space="preserve"> </w:t>
      </w:r>
      <w:proofErr w:type="spellStart"/>
      <w:r w:rsidRPr="00B71F27">
        <w:t>compress</w:t>
      </w:r>
      <w:proofErr w:type="spellEnd"/>
      <w:r w:rsidRPr="00B71F27">
        <w:t xml:space="preserve"> </w:t>
      </w:r>
      <w:proofErr w:type="spellStart"/>
      <w:r w:rsidRPr="00B71F27">
        <w:t>the</w:t>
      </w:r>
      <w:proofErr w:type="spellEnd"/>
      <w:r w:rsidRPr="00B71F27">
        <w:t xml:space="preserve"> </w:t>
      </w:r>
      <w:proofErr w:type="spellStart"/>
      <w:r w:rsidRPr="00B71F27">
        <w:t>skinfold</w:t>
      </w:r>
      <w:proofErr w:type="spellEnd"/>
      <w:r w:rsidRPr="00B71F27">
        <w:t xml:space="preserve"> </w:t>
      </w:r>
      <w:proofErr w:type="spellStart"/>
      <w:r w:rsidRPr="00B71F27">
        <w:t>before</w:t>
      </w:r>
      <w:proofErr w:type="spellEnd"/>
      <w:r w:rsidRPr="00B71F27">
        <w:t xml:space="preserve"> </w:t>
      </w:r>
      <w:proofErr w:type="spellStart"/>
      <w:r w:rsidRPr="00B71F27">
        <w:t>the</w:t>
      </w:r>
      <w:proofErr w:type="spellEnd"/>
      <w:r w:rsidRPr="00B71F27">
        <w:t xml:space="preserve"> </w:t>
      </w:r>
      <w:proofErr w:type="spellStart"/>
      <w:r w:rsidRPr="00B71F27">
        <w:t>measurement</w:t>
      </w:r>
      <w:proofErr w:type="spellEnd"/>
      <w:r w:rsidRPr="00B71F27">
        <w:t xml:space="preserve"> is </w:t>
      </w:r>
      <w:proofErr w:type="spellStart"/>
      <w:r w:rsidRPr="00B71F27">
        <w:t>read</w:t>
      </w:r>
      <w:proofErr w:type="spellEnd"/>
      <w:r w:rsidRPr="00B71F27">
        <w:t xml:space="preserve">. </w:t>
      </w:r>
      <w:proofErr w:type="spellStart"/>
      <w:r w:rsidRPr="00B71F27">
        <w:t>Skinfolds</w:t>
      </w:r>
      <w:proofErr w:type="spellEnd"/>
      <w:r w:rsidRPr="00B71F27">
        <w:t xml:space="preserve"> </w:t>
      </w:r>
      <w:proofErr w:type="spellStart"/>
      <w:r w:rsidRPr="00B71F27">
        <w:t>can</w:t>
      </w:r>
      <w:proofErr w:type="spellEnd"/>
      <w:r w:rsidRPr="00B71F27">
        <w:t xml:space="preserve"> be </w:t>
      </w:r>
      <w:proofErr w:type="spellStart"/>
      <w:r w:rsidRPr="00B71F27">
        <w:t>taken</w:t>
      </w:r>
      <w:proofErr w:type="spellEnd"/>
      <w:r w:rsidRPr="00B71F27">
        <w:t xml:space="preserve"> </w:t>
      </w:r>
      <w:proofErr w:type="spellStart"/>
      <w:r w:rsidRPr="00B71F27">
        <w:t>on</w:t>
      </w:r>
      <w:proofErr w:type="spellEnd"/>
      <w:r w:rsidRPr="00B71F27">
        <w:t xml:space="preserve"> </w:t>
      </w:r>
      <w:proofErr w:type="spellStart"/>
      <w:r w:rsidRPr="00B71F27">
        <w:t>either</w:t>
      </w:r>
      <w:proofErr w:type="spellEnd"/>
      <w:r w:rsidRPr="00B71F27">
        <w:t xml:space="preserve"> </w:t>
      </w:r>
      <w:proofErr w:type="spellStart"/>
      <w:r w:rsidRPr="00B71F27">
        <w:t>the</w:t>
      </w:r>
      <w:proofErr w:type="spellEnd"/>
      <w:r w:rsidRPr="00B71F27">
        <w:t xml:space="preserve"> </w:t>
      </w:r>
      <w:proofErr w:type="spellStart"/>
      <w:r w:rsidRPr="00B71F27">
        <w:t>right</w:t>
      </w:r>
      <w:proofErr w:type="spellEnd"/>
      <w:r w:rsidRPr="00B71F27">
        <w:t xml:space="preserve"> </w:t>
      </w:r>
      <w:proofErr w:type="spellStart"/>
      <w:r w:rsidRPr="00B71F27">
        <w:t>or</w:t>
      </w:r>
      <w:proofErr w:type="spellEnd"/>
      <w:r w:rsidRPr="00B71F27">
        <w:t xml:space="preserve"> </w:t>
      </w:r>
      <w:proofErr w:type="spellStart"/>
      <w:r w:rsidRPr="00B71F27">
        <w:t>left</w:t>
      </w:r>
      <w:proofErr w:type="spellEnd"/>
      <w:r w:rsidRPr="00B71F27">
        <w:t xml:space="preserve"> </w:t>
      </w:r>
      <w:proofErr w:type="spellStart"/>
      <w:r w:rsidRPr="00B71F27">
        <w:t>side</w:t>
      </w:r>
      <w:proofErr w:type="spellEnd"/>
      <w:r w:rsidRPr="00B71F27">
        <w:t xml:space="preserve"> of </w:t>
      </w:r>
      <w:proofErr w:type="spellStart"/>
      <w:r w:rsidRPr="00B71F27">
        <w:t>the</w:t>
      </w:r>
      <w:proofErr w:type="spellEnd"/>
      <w:r w:rsidRPr="00B71F27">
        <w:t xml:space="preserve"> body, </w:t>
      </w:r>
      <w:proofErr w:type="spellStart"/>
      <w:r w:rsidRPr="00B71F27">
        <w:t>but</w:t>
      </w:r>
      <w:proofErr w:type="spellEnd"/>
      <w:r w:rsidRPr="00B71F27">
        <w:t xml:space="preserve"> </w:t>
      </w:r>
      <w:proofErr w:type="spellStart"/>
      <w:r w:rsidRPr="00B71F27">
        <w:t>all</w:t>
      </w:r>
      <w:proofErr w:type="spellEnd"/>
      <w:r w:rsidRPr="00B71F27">
        <w:t xml:space="preserve"> </w:t>
      </w:r>
      <w:proofErr w:type="spellStart"/>
      <w:r w:rsidRPr="00B71F27">
        <w:t>measurements</w:t>
      </w:r>
      <w:proofErr w:type="spellEnd"/>
      <w:r w:rsidRPr="00B71F27">
        <w:t xml:space="preserve"> must be </w:t>
      </w:r>
      <w:proofErr w:type="spellStart"/>
      <w:r w:rsidRPr="00B71F27">
        <w:t>taken</w:t>
      </w:r>
      <w:proofErr w:type="spellEnd"/>
      <w:r w:rsidRPr="00B71F27">
        <w:t xml:space="preserve"> </w:t>
      </w:r>
      <w:proofErr w:type="spellStart"/>
      <w:r w:rsidRPr="00B71F27">
        <w:t>on</w:t>
      </w:r>
      <w:proofErr w:type="spellEnd"/>
      <w:r w:rsidRPr="00B71F27">
        <w:t xml:space="preserve"> </w:t>
      </w:r>
      <w:proofErr w:type="spellStart"/>
      <w:r w:rsidRPr="00B71F27">
        <w:t>the</w:t>
      </w:r>
      <w:proofErr w:type="spellEnd"/>
      <w:r w:rsidRPr="00B71F27">
        <w:t xml:space="preserve"> </w:t>
      </w:r>
      <w:proofErr w:type="spellStart"/>
      <w:r w:rsidRPr="00B71F27">
        <w:t>same</w:t>
      </w:r>
      <w:proofErr w:type="spellEnd"/>
      <w:r w:rsidRPr="00B71F27">
        <w:t xml:space="preserve"> </w:t>
      </w:r>
      <w:proofErr w:type="spellStart"/>
      <w:r w:rsidRPr="00B71F27">
        <w:t>side</w:t>
      </w:r>
      <w:proofErr w:type="spellEnd"/>
      <w:r w:rsidRPr="00B71F27">
        <w:t xml:space="preserve">. The </w:t>
      </w:r>
      <w:proofErr w:type="spellStart"/>
      <w:r w:rsidRPr="00B71F27">
        <w:t>measurement</w:t>
      </w:r>
      <w:proofErr w:type="spellEnd"/>
      <w:r w:rsidRPr="00B71F27">
        <w:t xml:space="preserve"> is </w:t>
      </w:r>
      <w:proofErr w:type="spellStart"/>
      <w:r w:rsidRPr="00B71F27">
        <w:t>recorded</w:t>
      </w:r>
      <w:proofErr w:type="spellEnd"/>
      <w:r w:rsidRPr="00B71F27">
        <w:t xml:space="preserve"> </w:t>
      </w:r>
      <w:proofErr w:type="spellStart"/>
      <w:r w:rsidRPr="00B71F27">
        <w:t>with</w:t>
      </w:r>
      <w:proofErr w:type="spellEnd"/>
      <w:r w:rsidRPr="00B71F27">
        <w:t xml:space="preserve"> an </w:t>
      </w:r>
      <w:proofErr w:type="spellStart"/>
      <w:r w:rsidRPr="00B71F27">
        <w:t>accuracy</w:t>
      </w:r>
      <w:proofErr w:type="spellEnd"/>
      <w:r w:rsidRPr="00B71F27">
        <w:t xml:space="preserve"> of 0.1 mm.</w:t>
      </w:r>
    </w:p>
    <w:tbl>
      <w:tblPr>
        <w:tblW w:w="8860" w:type="dxa"/>
        <w:jc w:val="center"/>
        <w:tblCellMar>
          <w:left w:w="70" w:type="dxa"/>
          <w:right w:w="70" w:type="dxa"/>
        </w:tblCellMar>
        <w:tblLook w:val="04A0" w:firstRow="1" w:lastRow="0" w:firstColumn="1" w:lastColumn="0" w:noHBand="0" w:noVBand="1"/>
      </w:tblPr>
      <w:tblGrid>
        <w:gridCol w:w="827"/>
        <w:gridCol w:w="861"/>
        <w:gridCol w:w="1243"/>
        <w:gridCol w:w="744"/>
        <w:gridCol w:w="923"/>
        <w:gridCol w:w="722"/>
        <w:gridCol w:w="1092"/>
        <w:gridCol w:w="821"/>
        <w:gridCol w:w="722"/>
        <w:gridCol w:w="1022"/>
      </w:tblGrid>
      <w:tr w:rsidR="00742DB5" w:rsidRPr="00B71F27" w14:paraId="413CDFEA" w14:textId="77777777" w:rsidTr="003F0B36">
        <w:trPr>
          <w:trHeight w:val="382"/>
          <w:jc w:val="center"/>
        </w:trPr>
        <w:tc>
          <w:tcPr>
            <w:tcW w:w="8860"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625550E" w14:textId="77777777" w:rsidR="00742DB5" w:rsidRPr="00B71F27" w:rsidRDefault="00742DB5" w:rsidP="00B71F27">
            <w:r w:rsidRPr="00B71F27">
              <w:t>Kerületek (cm)</w:t>
            </w:r>
          </w:p>
        </w:tc>
      </w:tr>
      <w:tr w:rsidR="00742DB5" w:rsidRPr="00B71F27" w14:paraId="721ACE85" w14:textId="77777777" w:rsidTr="003F0B36">
        <w:trPr>
          <w:trHeight w:val="382"/>
          <w:jc w:val="center"/>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14:paraId="5766E814" w14:textId="77777777" w:rsidR="00742DB5" w:rsidRPr="00B71F27" w:rsidRDefault="00742DB5" w:rsidP="00B71F27"/>
        </w:tc>
        <w:tc>
          <w:tcPr>
            <w:tcW w:w="861" w:type="dxa"/>
            <w:tcBorders>
              <w:top w:val="nil"/>
              <w:left w:val="nil"/>
              <w:bottom w:val="single" w:sz="4" w:space="0" w:color="auto"/>
              <w:right w:val="single" w:sz="4" w:space="0" w:color="auto"/>
            </w:tcBorders>
            <w:shd w:val="clear" w:color="000000" w:fill="FFFFFF"/>
            <w:noWrap/>
            <w:vAlign w:val="bottom"/>
            <w:hideMark/>
          </w:tcPr>
          <w:p w14:paraId="21E21977" w14:textId="77777777" w:rsidR="00742DB5" w:rsidRPr="00B71F27" w:rsidRDefault="00742DB5" w:rsidP="00B71F27">
            <w:r w:rsidRPr="00B71F27">
              <w:t>Felkar</w:t>
            </w:r>
          </w:p>
        </w:tc>
        <w:tc>
          <w:tcPr>
            <w:tcW w:w="1243" w:type="dxa"/>
            <w:tcBorders>
              <w:top w:val="nil"/>
              <w:left w:val="nil"/>
              <w:bottom w:val="single" w:sz="4" w:space="0" w:color="auto"/>
              <w:right w:val="single" w:sz="4" w:space="0" w:color="auto"/>
            </w:tcBorders>
            <w:shd w:val="clear" w:color="000000" w:fill="FFFFFF"/>
            <w:noWrap/>
            <w:vAlign w:val="bottom"/>
            <w:hideMark/>
          </w:tcPr>
          <w:p w14:paraId="79F7A7AB" w14:textId="77777777" w:rsidR="00742DB5" w:rsidRPr="00B71F27" w:rsidRDefault="00742DB5" w:rsidP="00B71F27">
            <w:r w:rsidRPr="00B71F27">
              <w:t>Felkar (f)</w:t>
            </w:r>
          </w:p>
        </w:tc>
        <w:tc>
          <w:tcPr>
            <w:tcW w:w="744" w:type="dxa"/>
            <w:tcBorders>
              <w:top w:val="nil"/>
              <w:left w:val="nil"/>
              <w:bottom w:val="single" w:sz="4" w:space="0" w:color="auto"/>
              <w:right w:val="single" w:sz="4" w:space="0" w:color="auto"/>
            </w:tcBorders>
            <w:shd w:val="clear" w:color="000000" w:fill="FFFFFF"/>
            <w:noWrap/>
            <w:vAlign w:val="bottom"/>
            <w:hideMark/>
          </w:tcPr>
          <w:p w14:paraId="2CE8493A" w14:textId="77777777" w:rsidR="00742DB5" w:rsidRPr="00B71F27" w:rsidRDefault="00742DB5" w:rsidP="00B71F27">
            <w:r w:rsidRPr="00B71F27">
              <w:t>Alkar</w:t>
            </w:r>
          </w:p>
        </w:tc>
        <w:tc>
          <w:tcPr>
            <w:tcW w:w="923" w:type="dxa"/>
            <w:tcBorders>
              <w:top w:val="nil"/>
              <w:left w:val="nil"/>
              <w:bottom w:val="single" w:sz="4" w:space="0" w:color="auto"/>
              <w:right w:val="single" w:sz="4" w:space="0" w:color="auto"/>
            </w:tcBorders>
            <w:shd w:val="clear" w:color="000000" w:fill="FFFFFF"/>
            <w:noWrap/>
            <w:vAlign w:val="bottom"/>
            <w:hideMark/>
          </w:tcPr>
          <w:p w14:paraId="664E0485" w14:textId="77777777" w:rsidR="00742DB5" w:rsidRPr="00B71F27" w:rsidRDefault="00742DB5" w:rsidP="00B71F27">
            <w:r w:rsidRPr="00B71F27">
              <w:t>Csukló</w:t>
            </w:r>
          </w:p>
        </w:tc>
        <w:tc>
          <w:tcPr>
            <w:tcW w:w="669" w:type="dxa"/>
            <w:tcBorders>
              <w:top w:val="nil"/>
              <w:left w:val="nil"/>
              <w:bottom w:val="single" w:sz="4" w:space="0" w:color="auto"/>
              <w:right w:val="single" w:sz="4" w:space="0" w:color="auto"/>
            </w:tcBorders>
            <w:shd w:val="clear" w:color="000000" w:fill="FFFFFF"/>
            <w:noWrap/>
            <w:vAlign w:val="bottom"/>
            <w:hideMark/>
          </w:tcPr>
          <w:p w14:paraId="5A1042F9" w14:textId="77777777" w:rsidR="00742DB5" w:rsidRPr="00B71F27" w:rsidRDefault="00742DB5" w:rsidP="00B71F27">
            <w:r w:rsidRPr="00B71F27">
              <w:t>Kéz</w:t>
            </w:r>
          </w:p>
        </w:tc>
        <w:tc>
          <w:tcPr>
            <w:tcW w:w="1092" w:type="dxa"/>
            <w:tcBorders>
              <w:top w:val="nil"/>
              <w:left w:val="nil"/>
              <w:bottom w:val="single" w:sz="4" w:space="0" w:color="auto"/>
              <w:right w:val="single" w:sz="4" w:space="0" w:color="auto"/>
            </w:tcBorders>
            <w:shd w:val="clear" w:color="000000" w:fill="FFFFFF"/>
            <w:noWrap/>
            <w:vAlign w:val="bottom"/>
            <w:hideMark/>
          </w:tcPr>
          <w:p w14:paraId="3CE6306F" w14:textId="77777777" w:rsidR="00742DB5" w:rsidRPr="00B71F27" w:rsidRDefault="00742DB5" w:rsidP="00B71F27">
            <w:r w:rsidRPr="00B71F27">
              <w:t>Mellkas</w:t>
            </w:r>
          </w:p>
        </w:tc>
        <w:tc>
          <w:tcPr>
            <w:tcW w:w="821" w:type="dxa"/>
            <w:tcBorders>
              <w:top w:val="nil"/>
              <w:left w:val="nil"/>
              <w:bottom w:val="single" w:sz="4" w:space="0" w:color="auto"/>
              <w:right w:val="single" w:sz="4" w:space="0" w:color="auto"/>
            </w:tcBorders>
            <w:shd w:val="clear" w:color="000000" w:fill="FFFFFF"/>
            <w:noWrap/>
            <w:vAlign w:val="bottom"/>
            <w:hideMark/>
          </w:tcPr>
          <w:p w14:paraId="65DCF454" w14:textId="77777777" w:rsidR="00742DB5" w:rsidRPr="00B71F27" w:rsidRDefault="00742DB5" w:rsidP="00B71F27">
            <w:r w:rsidRPr="00B71F27">
              <w:t>Comb</w:t>
            </w:r>
          </w:p>
        </w:tc>
        <w:tc>
          <w:tcPr>
            <w:tcW w:w="709" w:type="dxa"/>
            <w:tcBorders>
              <w:top w:val="nil"/>
              <w:left w:val="nil"/>
              <w:bottom w:val="single" w:sz="4" w:space="0" w:color="auto"/>
              <w:right w:val="single" w:sz="4" w:space="0" w:color="auto"/>
            </w:tcBorders>
            <w:shd w:val="clear" w:color="000000" w:fill="FFFFFF"/>
            <w:noWrap/>
            <w:vAlign w:val="bottom"/>
            <w:hideMark/>
          </w:tcPr>
          <w:p w14:paraId="68962AD5" w14:textId="77777777" w:rsidR="00742DB5" w:rsidRPr="00B71F27" w:rsidRDefault="00742DB5" w:rsidP="00B71F27">
            <w:r w:rsidRPr="00B71F27">
              <w:t>Boka</w:t>
            </w:r>
          </w:p>
        </w:tc>
        <w:tc>
          <w:tcPr>
            <w:tcW w:w="1022" w:type="dxa"/>
            <w:tcBorders>
              <w:top w:val="nil"/>
              <w:left w:val="nil"/>
              <w:bottom w:val="single" w:sz="4" w:space="0" w:color="auto"/>
              <w:right w:val="single" w:sz="4" w:space="0" w:color="auto"/>
            </w:tcBorders>
            <w:shd w:val="clear" w:color="000000" w:fill="FFFFFF"/>
            <w:noWrap/>
            <w:vAlign w:val="bottom"/>
            <w:hideMark/>
          </w:tcPr>
          <w:p w14:paraId="63F611EE" w14:textId="77777777" w:rsidR="00742DB5" w:rsidRPr="00B71F27" w:rsidRDefault="00742DB5" w:rsidP="00B71F27">
            <w:r w:rsidRPr="00B71F27">
              <w:t>Lábikra</w:t>
            </w:r>
          </w:p>
        </w:tc>
      </w:tr>
      <w:tr w:rsidR="00742DB5" w:rsidRPr="00B71F27" w14:paraId="466CE3C9" w14:textId="77777777" w:rsidTr="003F0B36">
        <w:trPr>
          <w:trHeight w:val="331"/>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971B636" w14:textId="77777777" w:rsidR="00742DB5" w:rsidRPr="00B71F27" w:rsidRDefault="00742DB5" w:rsidP="00B71F27">
            <w:r w:rsidRPr="00B71F27">
              <w:t>Átlag</w:t>
            </w:r>
          </w:p>
        </w:tc>
        <w:tc>
          <w:tcPr>
            <w:tcW w:w="861" w:type="dxa"/>
            <w:tcBorders>
              <w:top w:val="nil"/>
              <w:left w:val="nil"/>
              <w:bottom w:val="single" w:sz="4" w:space="0" w:color="auto"/>
              <w:right w:val="single" w:sz="4" w:space="0" w:color="auto"/>
            </w:tcBorders>
            <w:shd w:val="clear" w:color="auto" w:fill="auto"/>
            <w:noWrap/>
            <w:vAlign w:val="center"/>
            <w:hideMark/>
          </w:tcPr>
          <w:p w14:paraId="6A67ECB0" w14:textId="77777777" w:rsidR="00742DB5" w:rsidRPr="00B71F27" w:rsidRDefault="00742DB5" w:rsidP="00B71F27">
            <w:r w:rsidRPr="00B71F27">
              <w:t>34,08</w:t>
            </w:r>
          </w:p>
        </w:tc>
        <w:tc>
          <w:tcPr>
            <w:tcW w:w="1243" w:type="dxa"/>
            <w:tcBorders>
              <w:top w:val="nil"/>
              <w:left w:val="nil"/>
              <w:bottom w:val="single" w:sz="4" w:space="0" w:color="auto"/>
              <w:right w:val="single" w:sz="4" w:space="0" w:color="auto"/>
            </w:tcBorders>
            <w:shd w:val="clear" w:color="auto" w:fill="auto"/>
            <w:noWrap/>
            <w:vAlign w:val="center"/>
            <w:hideMark/>
          </w:tcPr>
          <w:p w14:paraId="2FF0092F" w14:textId="77777777" w:rsidR="00742DB5" w:rsidRPr="00B71F27" w:rsidRDefault="00742DB5" w:rsidP="00B71F27">
            <w:r w:rsidRPr="00B71F27">
              <w:t>36,17</w:t>
            </w:r>
          </w:p>
        </w:tc>
        <w:tc>
          <w:tcPr>
            <w:tcW w:w="744" w:type="dxa"/>
            <w:tcBorders>
              <w:top w:val="nil"/>
              <w:left w:val="nil"/>
              <w:bottom w:val="single" w:sz="4" w:space="0" w:color="auto"/>
              <w:right w:val="single" w:sz="4" w:space="0" w:color="auto"/>
            </w:tcBorders>
            <w:shd w:val="clear" w:color="auto" w:fill="auto"/>
            <w:noWrap/>
            <w:vAlign w:val="center"/>
            <w:hideMark/>
          </w:tcPr>
          <w:p w14:paraId="269D2379" w14:textId="77777777" w:rsidR="00742DB5" w:rsidRPr="00B71F27" w:rsidRDefault="00742DB5" w:rsidP="00B71F27">
            <w:r w:rsidRPr="00B71F27">
              <w:t>29,8</w:t>
            </w:r>
          </w:p>
        </w:tc>
        <w:tc>
          <w:tcPr>
            <w:tcW w:w="923" w:type="dxa"/>
            <w:tcBorders>
              <w:top w:val="nil"/>
              <w:left w:val="nil"/>
              <w:bottom w:val="single" w:sz="4" w:space="0" w:color="auto"/>
              <w:right w:val="single" w:sz="4" w:space="0" w:color="auto"/>
            </w:tcBorders>
            <w:shd w:val="clear" w:color="auto" w:fill="auto"/>
            <w:noWrap/>
            <w:vAlign w:val="center"/>
            <w:hideMark/>
          </w:tcPr>
          <w:p w14:paraId="756692CC" w14:textId="77777777" w:rsidR="00742DB5" w:rsidRPr="00B71F27" w:rsidRDefault="00742DB5" w:rsidP="00B71F27">
            <w:r w:rsidRPr="00B71F27">
              <w:t>18,03</w:t>
            </w:r>
          </w:p>
        </w:tc>
        <w:tc>
          <w:tcPr>
            <w:tcW w:w="669" w:type="dxa"/>
            <w:tcBorders>
              <w:top w:val="nil"/>
              <w:left w:val="nil"/>
              <w:bottom w:val="single" w:sz="4" w:space="0" w:color="auto"/>
              <w:right w:val="single" w:sz="4" w:space="0" w:color="auto"/>
            </w:tcBorders>
            <w:shd w:val="clear" w:color="auto" w:fill="auto"/>
            <w:noWrap/>
            <w:vAlign w:val="center"/>
            <w:hideMark/>
          </w:tcPr>
          <w:p w14:paraId="7B1AA500" w14:textId="77777777" w:rsidR="00742DB5" w:rsidRPr="00B71F27" w:rsidRDefault="00742DB5" w:rsidP="00B71F27">
            <w:r w:rsidRPr="00B71F27">
              <w:t>23,19</w:t>
            </w:r>
          </w:p>
        </w:tc>
        <w:tc>
          <w:tcPr>
            <w:tcW w:w="1092" w:type="dxa"/>
            <w:tcBorders>
              <w:top w:val="nil"/>
              <w:left w:val="nil"/>
              <w:bottom w:val="single" w:sz="4" w:space="0" w:color="auto"/>
              <w:right w:val="single" w:sz="4" w:space="0" w:color="auto"/>
            </w:tcBorders>
            <w:shd w:val="clear" w:color="auto" w:fill="auto"/>
            <w:noWrap/>
            <w:vAlign w:val="center"/>
            <w:hideMark/>
          </w:tcPr>
          <w:p w14:paraId="4838EBCF" w14:textId="77777777" w:rsidR="00742DB5" w:rsidRPr="00B71F27" w:rsidRDefault="00742DB5" w:rsidP="00B71F27">
            <w:r w:rsidRPr="00B71F27">
              <w:t>106,86</w:t>
            </w:r>
          </w:p>
        </w:tc>
        <w:tc>
          <w:tcPr>
            <w:tcW w:w="821" w:type="dxa"/>
            <w:tcBorders>
              <w:top w:val="nil"/>
              <w:left w:val="nil"/>
              <w:bottom w:val="single" w:sz="4" w:space="0" w:color="auto"/>
              <w:right w:val="single" w:sz="4" w:space="0" w:color="auto"/>
            </w:tcBorders>
            <w:shd w:val="clear" w:color="auto" w:fill="auto"/>
            <w:noWrap/>
            <w:vAlign w:val="center"/>
            <w:hideMark/>
          </w:tcPr>
          <w:p w14:paraId="4ABB32F3" w14:textId="77777777" w:rsidR="00742DB5" w:rsidRPr="00B71F27" w:rsidRDefault="00742DB5" w:rsidP="00B71F27">
            <w:r w:rsidRPr="00B71F27">
              <w:t>59,64</w:t>
            </w:r>
          </w:p>
        </w:tc>
        <w:tc>
          <w:tcPr>
            <w:tcW w:w="709" w:type="dxa"/>
            <w:tcBorders>
              <w:top w:val="nil"/>
              <w:left w:val="nil"/>
              <w:bottom w:val="single" w:sz="4" w:space="0" w:color="auto"/>
              <w:right w:val="single" w:sz="4" w:space="0" w:color="auto"/>
            </w:tcBorders>
            <w:shd w:val="clear" w:color="auto" w:fill="auto"/>
            <w:noWrap/>
            <w:vAlign w:val="center"/>
            <w:hideMark/>
          </w:tcPr>
          <w:p w14:paraId="0A9E6A73" w14:textId="77777777" w:rsidR="00742DB5" w:rsidRPr="00B71F27" w:rsidRDefault="00742DB5" w:rsidP="00B71F27">
            <w:r w:rsidRPr="00B71F27">
              <w:t>24,44</w:t>
            </w:r>
          </w:p>
        </w:tc>
        <w:tc>
          <w:tcPr>
            <w:tcW w:w="1022" w:type="dxa"/>
            <w:tcBorders>
              <w:top w:val="nil"/>
              <w:left w:val="nil"/>
              <w:bottom w:val="single" w:sz="4" w:space="0" w:color="auto"/>
              <w:right w:val="single" w:sz="4" w:space="0" w:color="auto"/>
            </w:tcBorders>
            <w:shd w:val="clear" w:color="auto" w:fill="auto"/>
            <w:noWrap/>
            <w:vAlign w:val="center"/>
            <w:hideMark/>
          </w:tcPr>
          <w:p w14:paraId="7A666CE7" w14:textId="77777777" w:rsidR="00742DB5" w:rsidRPr="00B71F27" w:rsidRDefault="00742DB5" w:rsidP="00B71F27">
            <w:r w:rsidRPr="00B71F27">
              <w:t>36,75</w:t>
            </w:r>
          </w:p>
        </w:tc>
      </w:tr>
      <w:tr w:rsidR="00742DB5" w:rsidRPr="00B71F27" w14:paraId="0B5F33AB" w14:textId="77777777" w:rsidTr="003F0B36">
        <w:trPr>
          <w:trHeight w:val="331"/>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A6B7840" w14:textId="77777777" w:rsidR="00742DB5" w:rsidRPr="00B71F27" w:rsidRDefault="00742DB5" w:rsidP="00B71F27">
            <w:r w:rsidRPr="00B71F27">
              <w:t>Szórás</w:t>
            </w:r>
          </w:p>
        </w:tc>
        <w:tc>
          <w:tcPr>
            <w:tcW w:w="861" w:type="dxa"/>
            <w:tcBorders>
              <w:top w:val="nil"/>
              <w:left w:val="nil"/>
              <w:bottom w:val="single" w:sz="4" w:space="0" w:color="auto"/>
              <w:right w:val="single" w:sz="4" w:space="0" w:color="auto"/>
            </w:tcBorders>
            <w:shd w:val="clear" w:color="auto" w:fill="auto"/>
            <w:noWrap/>
            <w:vAlign w:val="center"/>
            <w:hideMark/>
          </w:tcPr>
          <w:p w14:paraId="67F10E1B" w14:textId="77777777" w:rsidR="00742DB5" w:rsidRPr="00B71F27" w:rsidRDefault="00742DB5" w:rsidP="00B71F27">
            <w:r w:rsidRPr="00B71F27">
              <w:t>1,69</w:t>
            </w:r>
          </w:p>
        </w:tc>
        <w:tc>
          <w:tcPr>
            <w:tcW w:w="1243" w:type="dxa"/>
            <w:tcBorders>
              <w:top w:val="nil"/>
              <w:left w:val="nil"/>
              <w:bottom w:val="single" w:sz="4" w:space="0" w:color="auto"/>
              <w:right w:val="single" w:sz="4" w:space="0" w:color="auto"/>
            </w:tcBorders>
            <w:shd w:val="clear" w:color="auto" w:fill="auto"/>
            <w:noWrap/>
            <w:vAlign w:val="center"/>
            <w:hideMark/>
          </w:tcPr>
          <w:p w14:paraId="25B7205D" w14:textId="77777777" w:rsidR="00742DB5" w:rsidRPr="00B71F27" w:rsidRDefault="00742DB5" w:rsidP="00B71F27">
            <w:r w:rsidRPr="00B71F27">
              <w:t>1,54</w:t>
            </w:r>
          </w:p>
        </w:tc>
        <w:tc>
          <w:tcPr>
            <w:tcW w:w="744" w:type="dxa"/>
            <w:tcBorders>
              <w:top w:val="nil"/>
              <w:left w:val="nil"/>
              <w:bottom w:val="single" w:sz="4" w:space="0" w:color="auto"/>
              <w:right w:val="single" w:sz="4" w:space="0" w:color="auto"/>
            </w:tcBorders>
            <w:shd w:val="clear" w:color="auto" w:fill="auto"/>
            <w:noWrap/>
            <w:vAlign w:val="center"/>
            <w:hideMark/>
          </w:tcPr>
          <w:p w14:paraId="7D61619A" w14:textId="77777777" w:rsidR="00742DB5" w:rsidRPr="00B71F27" w:rsidRDefault="00742DB5" w:rsidP="00B71F27">
            <w:r w:rsidRPr="00B71F27">
              <w:t>2,44</w:t>
            </w:r>
          </w:p>
        </w:tc>
        <w:tc>
          <w:tcPr>
            <w:tcW w:w="923" w:type="dxa"/>
            <w:tcBorders>
              <w:top w:val="nil"/>
              <w:left w:val="nil"/>
              <w:bottom w:val="single" w:sz="4" w:space="0" w:color="auto"/>
              <w:right w:val="single" w:sz="4" w:space="0" w:color="auto"/>
            </w:tcBorders>
            <w:shd w:val="clear" w:color="auto" w:fill="auto"/>
            <w:noWrap/>
            <w:vAlign w:val="center"/>
            <w:hideMark/>
          </w:tcPr>
          <w:p w14:paraId="1BEA5EA3" w14:textId="77777777" w:rsidR="00742DB5" w:rsidRPr="00B71F27" w:rsidRDefault="00742DB5" w:rsidP="00B71F27">
            <w:r w:rsidRPr="00B71F27">
              <w:t>0,72</w:t>
            </w:r>
          </w:p>
        </w:tc>
        <w:tc>
          <w:tcPr>
            <w:tcW w:w="669" w:type="dxa"/>
            <w:tcBorders>
              <w:top w:val="nil"/>
              <w:left w:val="nil"/>
              <w:bottom w:val="single" w:sz="4" w:space="0" w:color="auto"/>
              <w:right w:val="single" w:sz="4" w:space="0" w:color="auto"/>
            </w:tcBorders>
            <w:shd w:val="clear" w:color="auto" w:fill="auto"/>
            <w:noWrap/>
            <w:vAlign w:val="center"/>
            <w:hideMark/>
          </w:tcPr>
          <w:p w14:paraId="093D5947" w14:textId="77777777" w:rsidR="00742DB5" w:rsidRPr="00B71F27" w:rsidRDefault="00742DB5" w:rsidP="00B71F27">
            <w:r w:rsidRPr="00B71F27">
              <w:t>3,01</w:t>
            </w:r>
          </w:p>
        </w:tc>
        <w:tc>
          <w:tcPr>
            <w:tcW w:w="1092" w:type="dxa"/>
            <w:tcBorders>
              <w:top w:val="nil"/>
              <w:left w:val="nil"/>
              <w:bottom w:val="single" w:sz="4" w:space="0" w:color="auto"/>
              <w:right w:val="single" w:sz="4" w:space="0" w:color="auto"/>
            </w:tcBorders>
            <w:shd w:val="clear" w:color="auto" w:fill="auto"/>
            <w:noWrap/>
            <w:vAlign w:val="center"/>
            <w:hideMark/>
          </w:tcPr>
          <w:p w14:paraId="1196A5E7" w14:textId="77777777" w:rsidR="00742DB5" w:rsidRPr="00B71F27" w:rsidRDefault="00742DB5" w:rsidP="00B71F27">
            <w:r w:rsidRPr="00B71F27">
              <w:t>5,52</w:t>
            </w:r>
          </w:p>
        </w:tc>
        <w:tc>
          <w:tcPr>
            <w:tcW w:w="821" w:type="dxa"/>
            <w:tcBorders>
              <w:top w:val="nil"/>
              <w:left w:val="nil"/>
              <w:bottom w:val="single" w:sz="4" w:space="0" w:color="auto"/>
              <w:right w:val="single" w:sz="4" w:space="0" w:color="auto"/>
            </w:tcBorders>
            <w:shd w:val="clear" w:color="auto" w:fill="auto"/>
            <w:noWrap/>
            <w:vAlign w:val="center"/>
            <w:hideMark/>
          </w:tcPr>
          <w:p w14:paraId="5B674FBB" w14:textId="77777777" w:rsidR="00742DB5" w:rsidRPr="00B71F27" w:rsidRDefault="00742DB5" w:rsidP="00B71F27">
            <w:r w:rsidRPr="00B71F27">
              <w:t>3,66</w:t>
            </w:r>
          </w:p>
        </w:tc>
        <w:tc>
          <w:tcPr>
            <w:tcW w:w="709" w:type="dxa"/>
            <w:tcBorders>
              <w:top w:val="nil"/>
              <w:left w:val="nil"/>
              <w:bottom w:val="single" w:sz="4" w:space="0" w:color="auto"/>
              <w:right w:val="single" w:sz="4" w:space="0" w:color="auto"/>
            </w:tcBorders>
            <w:shd w:val="clear" w:color="auto" w:fill="auto"/>
            <w:noWrap/>
            <w:vAlign w:val="center"/>
            <w:hideMark/>
          </w:tcPr>
          <w:p w14:paraId="256A9758" w14:textId="77777777" w:rsidR="00742DB5" w:rsidRPr="00B71F27" w:rsidRDefault="00742DB5" w:rsidP="00B71F27">
            <w:r w:rsidRPr="00B71F27">
              <w:t>3,33</w:t>
            </w:r>
          </w:p>
        </w:tc>
        <w:tc>
          <w:tcPr>
            <w:tcW w:w="1022" w:type="dxa"/>
            <w:tcBorders>
              <w:top w:val="nil"/>
              <w:left w:val="nil"/>
              <w:bottom w:val="single" w:sz="4" w:space="0" w:color="auto"/>
              <w:right w:val="single" w:sz="4" w:space="0" w:color="auto"/>
            </w:tcBorders>
            <w:shd w:val="clear" w:color="auto" w:fill="auto"/>
            <w:noWrap/>
            <w:vAlign w:val="center"/>
            <w:hideMark/>
          </w:tcPr>
          <w:p w14:paraId="053CDFB7" w14:textId="77777777" w:rsidR="00742DB5" w:rsidRPr="00B71F27" w:rsidRDefault="00742DB5" w:rsidP="00B71F27">
            <w:r w:rsidRPr="00B71F27">
              <w:t>3,96</w:t>
            </w:r>
          </w:p>
        </w:tc>
      </w:tr>
    </w:tbl>
    <w:p w14:paraId="143591C1" w14:textId="77777777" w:rsidR="00742DB5" w:rsidRPr="00B71F27" w:rsidRDefault="00742DB5" w:rsidP="00B71F27"/>
    <w:sectPr w:rsidR="00742DB5" w:rsidRPr="00B71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B5"/>
    <w:rsid w:val="00206AB0"/>
    <w:rsid w:val="005A472C"/>
    <w:rsid w:val="006312A9"/>
    <w:rsid w:val="00742DB5"/>
    <w:rsid w:val="00B71F27"/>
    <w:rsid w:val="00C153CF"/>
    <w:rsid w:val="00C51899"/>
    <w:rsid w:val="00D64CC9"/>
    <w:rsid w:val="00DB6FF1"/>
    <w:rsid w:val="00E65020"/>
    <w:rsid w:val="00EA6A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98E4"/>
  <w15:chartTrackingRefBased/>
  <w15:docId w15:val="{B3F017ED-53D8-4A0C-8766-480B8E03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4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4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42DB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42DB5"/>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42DB5"/>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42DB5"/>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42DB5"/>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42DB5"/>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42DB5"/>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42DB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42DB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42DB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42DB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42DB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42DB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42DB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42DB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42DB5"/>
    <w:rPr>
      <w:rFonts w:eastAsiaTheme="majorEastAsia" w:cstheme="majorBidi"/>
      <w:color w:val="272727" w:themeColor="text1" w:themeTint="D8"/>
    </w:rPr>
  </w:style>
  <w:style w:type="paragraph" w:styleId="Cm">
    <w:name w:val="Title"/>
    <w:basedOn w:val="Norml"/>
    <w:next w:val="Norml"/>
    <w:link w:val="CmChar"/>
    <w:uiPriority w:val="10"/>
    <w:qFormat/>
    <w:rsid w:val="0074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42DB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42DB5"/>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42DB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42DB5"/>
    <w:pPr>
      <w:spacing w:before="160"/>
      <w:jc w:val="center"/>
    </w:pPr>
    <w:rPr>
      <w:i/>
      <w:iCs/>
      <w:color w:val="404040" w:themeColor="text1" w:themeTint="BF"/>
    </w:rPr>
  </w:style>
  <w:style w:type="character" w:customStyle="1" w:styleId="IdzetChar">
    <w:name w:val="Idézet Char"/>
    <w:basedOn w:val="Bekezdsalapbettpusa"/>
    <w:link w:val="Idzet"/>
    <w:uiPriority w:val="29"/>
    <w:rsid w:val="00742DB5"/>
    <w:rPr>
      <w:i/>
      <w:iCs/>
      <w:color w:val="404040" w:themeColor="text1" w:themeTint="BF"/>
    </w:rPr>
  </w:style>
  <w:style w:type="paragraph" w:styleId="Listaszerbekezds">
    <w:name w:val="List Paragraph"/>
    <w:basedOn w:val="Norml"/>
    <w:uiPriority w:val="34"/>
    <w:qFormat/>
    <w:rsid w:val="00742DB5"/>
    <w:pPr>
      <w:ind w:left="720"/>
      <w:contextualSpacing/>
    </w:pPr>
  </w:style>
  <w:style w:type="character" w:styleId="Erskiemels">
    <w:name w:val="Intense Emphasis"/>
    <w:basedOn w:val="Bekezdsalapbettpusa"/>
    <w:uiPriority w:val="21"/>
    <w:qFormat/>
    <w:rsid w:val="00742DB5"/>
    <w:rPr>
      <w:i/>
      <w:iCs/>
      <w:color w:val="0F4761" w:themeColor="accent1" w:themeShade="BF"/>
    </w:rPr>
  </w:style>
  <w:style w:type="paragraph" w:styleId="Kiemeltidzet">
    <w:name w:val="Intense Quote"/>
    <w:basedOn w:val="Norml"/>
    <w:next w:val="Norml"/>
    <w:link w:val="KiemeltidzetChar"/>
    <w:uiPriority w:val="30"/>
    <w:qFormat/>
    <w:rsid w:val="0074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42DB5"/>
    <w:rPr>
      <w:i/>
      <w:iCs/>
      <w:color w:val="0F4761" w:themeColor="accent1" w:themeShade="BF"/>
    </w:rPr>
  </w:style>
  <w:style w:type="character" w:styleId="Ershivatkozs">
    <w:name w:val="Intense Reference"/>
    <w:basedOn w:val="Bekezdsalapbettpusa"/>
    <w:uiPriority w:val="32"/>
    <w:qFormat/>
    <w:rsid w:val="00742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9751">
      <w:bodyDiv w:val="1"/>
      <w:marLeft w:val="0"/>
      <w:marRight w:val="0"/>
      <w:marTop w:val="0"/>
      <w:marBottom w:val="0"/>
      <w:divBdr>
        <w:top w:val="none" w:sz="0" w:space="0" w:color="auto"/>
        <w:left w:val="none" w:sz="0" w:space="0" w:color="auto"/>
        <w:bottom w:val="none" w:sz="0" w:space="0" w:color="auto"/>
        <w:right w:val="none" w:sz="0" w:space="0" w:color="auto"/>
      </w:divBdr>
    </w:div>
    <w:div w:id="25762750">
      <w:bodyDiv w:val="1"/>
      <w:marLeft w:val="0"/>
      <w:marRight w:val="0"/>
      <w:marTop w:val="0"/>
      <w:marBottom w:val="0"/>
      <w:divBdr>
        <w:top w:val="none" w:sz="0" w:space="0" w:color="auto"/>
        <w:left w:val="none" w:sz="0" w:space="0" w:color="auto"/>
        <w:bottom w:val="none" w:sz="0" w:space="0" w:color="auto"/>
        <w:right w:val="none" w:sz="0" w:space="0" w:color="auto"/>
      </w:divBdr>
      <w:divsChild>
        <w:div w:id="65301985">
          <w:marLeft w:val="0"/>
          <w:marRight w:val="0"/>
          <w:marTop w:val="0"/>
          <w:marBottom w:val="0"/>
          <w:divBdr>
            <w:top w:val="none" w:sz="0" w:space="0" w:color="auto"/>
            <w:left w:val="none" w:sz="0" w:space="0" w:color="auto"/>
            <w:bottom w:val="none" w:sz="0" w:space="0" w:color="auto"/>
            <w:right w:val="none" w:sz="0" w:space="0" w:color="auto"/>
          </w:divBdr>
          <w:divsChild>
            <w:div w:id="8392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3967">
      <w:bodyDiv w:val="1"/>
      <w:marLeft w:val="0"/>
      <w:marRight w:val="0"/>
      <w:marTop w:val="0"/>
      <w:marBottom w:val="0"/>
      <w:divBdr>
        <w:top w:val="none" w:sz="0" w:space="0" w:color="auto"/>
        <w:left w:val="none" w:sz="0" w:space="0" w:color="auto"/>
        <w:bottom w:val="none" w:sz="0" w:space="0" w:color="auto"/>
        <w:right w:val="none" w:sz="0" w:space="0" w:color="auto"/>
      </w:divBdr>
    </w:div>
    <w:div w:id="165678614">
      <w:bodyDiv w:val="1"/>
      <w:marLeft w:val="0"/>
      <w:marRight w:val="0"/>
      <w:marTop w:val="0"/>
      <w:marBottom w:val="0"/>
      <w:divBdr>
        <w:top w:val="none" w:sz="0" w:space="0" w:color="auto"/>
        <w:left w:val="none" w:sz="0" w:space="0" w:color="auto"/>
        <w:bottom w:val="none" w:sz="0" w:space="0" w:color="auto"/>
        <w:right w:val="none" w:sz="0" w:space="0" w:color="auto"/>
      </w:divBdr>
    </w:div>
    <w:div w:id="273102402">
      <w:bodyDiv w:val="1"/>
      <w:marLeft w:val="0"/>
      <w:marRight w:val="0"/>
      <w:marTop w:val="0"/>
      <w:marBottom w:val="0"/>
      <w:divBdr>
        <w:top w:val="none" w:sz="0" w:space="0" w:color="auto"/>
        <w:left w:val="none" w:sz="0" w:space="0" w:color="auto"/>
        <w:bottom w:val="none" w:sz="0" w:space="0" w:color="auto"/>
        <w:right w:val="none" w:sz="0" w:space="0" w:color="auto"/>
      </w:divBdr>
      <w:divsChild>
        <w:div w:id="288243403">
          <w:marLeft w:val="0"/>
          <w:marRight w:val="0"/>
          <w:marTop w:val="0"/>
          <w:marBottom w:val="0"/>
          <w:divBdr>
            <w:top w:val="none" w:sz="0" w:space="0" w:color="auto"/>
            <w:left w:val="none" w:sz="0" w:space="0" w:color="auto"/>
            <w:bottom w:val="none" w:sz="0" w:space="0" w:color="auto"/>
            <w:right w:val="none" w:sz="0" w:space="0" w:color="auto"/>
          </w:divBdr>
          <w:divsChild>
            <w:div w:id="439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48327">
      <w:bodyDiv w:val="1"/>
      <w:marLeft w:val="0"/>
      <w:marRight w:val="0"/>
      <w:marTop w:val="0"/>
      <w:marBottom w:val="0"/>
      <w:divBdr>
        <w:top w:val="none" w:sz="0" w:space="0" w:color="auto"/>
        <w:left w:val="none" w:sz="0" w:space="0" w:color="auto"/>
        <w:bottom w:val="none" w:sz="0" w:space="0" w:color="auto"/>
        <w:right w:val="none" w:sz="0" w:space="0" w:color="auto"/>
      </w:divBdr>
    </w:div>
    <w:div w:id="1194346218">
      <w:bodyDiv w:val="1"/>
      <w:marLeft w:val="0"/>
      <w:marRight w:val="0"/>
      <w:marTop w:val="0"/>
      <w:marBottom w:val="0"/>
      <w:divBdr>
        <w:top w:val="none" w:sz="0" w:space="0" w:color="auto"/>
        <w:left w:val="none" w:sz="0" w:space="0" w:color="auto"/>
        <w:bottom w:val="none" w:sz="0" w:space="0" w:color="auto"/>
        <w:right w:val="none" w:sz="0" w:space="0" w:color="auto"/>
      </w:divBdr>
    </w:div>
    <w:div w:id="1366518796">
      <w:bodyDiv w:val="1"/>
      <w:marLeft w:val="0"/>
      <w:marRight w:val="0"/>
      <w:marTop w:val="0"/>
      <w:marBottom w:val="0"/>
      <w:divBdr>
        <w:top w:val="none" w:sz="0" w:space="0" w:color="auto"/>
        <w:left w:val="none" w:sz="0" w:space="0" w:color="auto"/>
        <w:bottom w:val="none" w:sz="0" w:space="0" w:color="auto"/>
        <w:right w:val="none" w:sz="0" w:space="0" w:color="auto"/>
      </w:divBdr>
    </w:div>
    <w:div w:id="1534541375">
      <w:bodyDiv w:val="1"/>
      <w:marLeft w:val="0"/>
      <w:marRight w:val="0"/>
      <w:marTop w:val="0"/>
      <w:marBottom w:val="0"/>
      <w:divBdr>
        <w:top w:val="none" w:sz="0" w:space="0" w:color="auto"/>
        <w:left w:val="none" w:sz="0" w:space="0" w:color="auto"/>
        <w:bottom w:val="none" w:sz="0" w:space="0" w:color="auto"/>
        <w:right w:val="none" w:sz="0" w:space="0" w:color="auto"/>
      </w:divBdr>
    </w:div>
    <w:div w:id="1667980425">
      <w:bodyDiv w:val="1"/>
      <w:marLeft w:val="0"/>
      <w:marRight w:val="0"/>
      <w:marTop w:val="0"/>
      <w:marBottom w:val="0"/>
      <w:divBdr>
        <w:top w:val="none" w:sz="0" w:space="0" w:color="auto"/>
        <w:left w:val="none" w:sz="0" w:space="0" w:color="auto"/>
        <w:bottom w:val="none" w:sz="0" w:space="0" w:color="auto"/>
        <w:right w:val="none" w:sz="0" w:space="0" w:color="auto"/>
      </w:divBdr>
    </w:div>
    <w:div w:id="1699430920">
      <w:bodyDiv w:val="1"/>
      <w:marLeft w:val="0"/>
      <w:marRight w:val="0"/>
      <w:marTop w:val="0"/>
      <w:marBottom w:val="0"/>
      <w:divBdr>
        <w:top w:val="none" w:sz="0" w:space="0" w:color="auto"/>
        <w:left w:val="none" w:sz="0" w:space="0" w:color="auto"/>
        <w:bottom w:val="none" w:sz="0" w:space="0" w:color="auto"/>
        <w:right w:val="none" w:sz="0" w:space="0" w:color="auto"/>
      </w:divBdr>
    </w:div>
    <w:div w:id="1793481054">
      <w:bodyDiv w:val="1"/>
      <w:marLeft w:val="0"/>
      <w:marRight w:val="0"/>
      <w:marTop w:val="0"/>
      <w:marBottom w:val="0"/>
      <w:divBdr>
        <w:top w:val="none" w:sz="0" w:space="0" w:color="auto"/>
        <w:left w:val="none" w:sz="0" w:space="0" w:color="auto"/>
        <w:bottom w:val="none" w:sz="0" w:space="0" w:color="auto"/>
        <w:right w:val="none" w:sz="0" w:space="0" w:color="auto"/>
      </w:divBdr>
    </w:div>
    <w:div w:id="1927760302">
      <w:bodyDiv w:val="1"/>
      <w:marLeft w:val="0"/>
      <w:marRight w:val="0"/>
      <w:marTop w:val="0"/>
      <w:marBottom w:val="0"/>
      <w:divBdr>
        <w:top w:val="none" w:sz="0" w:space="0" w:color="auto"/>
        <w:left w:val="none" w:sz="0" w:space="0" w:color="auto"/>
        <w:bottom w:val="none" w:sz="0" w:space="0" w:color="auto"/>
        <w:right w:val="none" w:sz="0" w:space="0" w:color="auto"/>
      </w:divBdr>
      <w:divsChild>
        <w:div w:id="576406182">
          <w:marLeft w:val="0"/>
          <w:marRight w:val="0"/>
          <w:marTop w:val="0"/>
          <w:marBottom w:val="0"/>
          <w:divBdr>
            <w:top w:val="none" w:sz="0" w:space="0" w:color="auto"/>
            <w:left w:val="none" w:sz="0" w:space="0" w:color="auto"/>
            <w:bottom w:val="none" w:sz="0" w:space="0" w:color="auto"/>
            <w:right w:val="none" w:sz="0" w:space="0" w:color="auto"/>
          </w:divBdr>
          <w:divsChild>
            <w:div w:id="5912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5172">
      <w:bodyDiv w:val="1"/>
      <w:marLeft w:val="0"/>
      <w:marRight w:val="0"/>
      <w:marTop w:val="0"/>
      <w:marBottom w:val="0"/>
      <w:divBdr>
        <w:top w:val="none" w:sz="0" w:space="0" w:color="auto"/>
        <w:left w:val="none" w:sz="0" w:space="0" w:color="auto"/>
        <w:bottom w:val="none" w:sz="0" w:space="0" w:color="auto"/>
        <w:right w:val="none" w:sz="0" w:space="0" w:color="auto"/>
      </w:divBdr>
      <w:divsChild>
        <w:div w:id="885947761">
          <w:marLeft w:val="0"/>
          <w:marRight w:val="0"/>
          <w:marTop w:val="0"/>
          <w:marBottom w:val="0"/>
          <w:divBdr>
            <w:top w:val="none" w:sz="0" w:space="0" w:color="auto"/>
            <w:left w:val="none" w:sz="0" w:space="0" w:color="auto"/>
            <w:bottom w:val="none" w:sz="0" w:space="0" w:color="auto"/>
            <w:right w:val="none" w:sz="0" w:space="0" w:color="auto"/>
          </w:divBdr>
          <w:divsChild>
            <w:div w:id="17876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3319</Words>
  <Characters>18922</Characters>
  <Application>Microsoft Office Word</Application>
  <DocSecurity>0</DocSecurity>
  <Lines>157</Lines>
  <Paragraphs>44</Paragraphs>
  <ScaleCrop>false</ScaleCrop>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Balazs Bence</dc:creator>
  <cp:keywords/>
  <dc:description/>
  <cp:lastModifiedBy>Balazs Bence</cp:lastModifiedBy>
  <cp:revision>3</cp:revision>
  <dcterms:created xsi:type="dcterms:W3CDTF">2026-03-11T13:58:00Z</dcterms:created>
  <dcterms:modified xsi:type="dcterms:W3CDTF">2026-03-11T14:04:00Z</dcterms:modified>
</cp:coreProperties>
</file>